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300"/>
        <w:jc w:val="center"/>
      </w:pPr>
      <w:r>
        <w:rPr>
          <w:rFonts w:ascii="Arial" w:cs="Arial" w:eastAsia="Arial" w:hAnsi="Arial"/>
          <w:b/>
          <w:bCs/>
          <w:color w:val="1F7A4D"/>
          <w:sz w:val="30"/>
          <w:szCs w:val="30"/>
        </w:rPr>
        <w:t xml:space="preserve">ADEMOVA</w:t>
      </w:r>
    </w:p>
    <w:p>
      <w:pPr>
        <w:spacing w:after="560"/>
        <w:jc w:val="center"/>
      </w:pPr>
      <w:r>
        <w:rPr>
          <w:rFonts w:ascii="Arial" w:cs="Arial" w:eastAsia="Arial" w:hAnsi="Arial"/>
          <w:color w:val="888888"/>
          <w:sz w:val="17"/>
          <w:szCs w:val="17"/>
        </w:rPr>
        <w:t xml:space="preserve">Conformité réglementaire des entreprises</w:t>
      </w:r>
    </w:p>
    <w:p>
      <w:pPr>
        <w:spacing w:after="60" w:before="160"/>
        <w:jc w:val="center"/>
      </w:pPr>
      <w:r>
        <w:rPr>
          <w:rFonts w:ascii="Arial" w:cs="Arial" w:eastAsia="Arial" w:hAnsi="Arial"/>
          <w:b/>
          <w:bCs/>
          <w:color w:val="1A2A4A"/>
          <w:sz w:val="56"/>
          <w:szCs w:val="56"/>
        </w:rPr>
        <w:t xml:space="preserve">RAPPORT VSME</w:t>
      </w:r>
    </w:p>
    <w:p>
      <w:pPr>
        <w:spacing w:after="80"/>
        <w:jc w:val="center"/>
      </w:pPr>
      <w:r>
        <w:rPr>
          <w:rFonts w:ascii="Arial" w:cs="Arial" w:eastAsia="Arial" w:hAnsi="Arial"/>
          <w:i/>
          <w:iCs/>
          <w:color w:val="1F7A4D"/>
          <w:sz w:val="21"/>
          <w:szCs w:val="21"/>
        </w:rPr>
        <w:t xml:space="preserve">Rapport de durabilité volontaire — Norme VSME (EFRAG)</w:t>
      </w:r>
    </w:p>
    <w:p>
      <w:pPr>
        <w:pBdr>
          <w:bottom w:val="single" w:color="1F7A4D" w:sz="18" w:space="6"/>
        </w:pBdr>
        <w:spacing w:after="460"/>
        <w:jc w:val="center"/>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Société</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[NOM DE LA SOCIÉTÉ]</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N° SIREN (entité)</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[N° SIREN — 9 chiffres]</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Siège social</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[ADRESSE DU SIÈGE SOCIAL]</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Code NAF / APE</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[CODE NAF]</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Module réalisé</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Comprehensive (Basic B1–B11 + Comprehensive C1–C9)</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Périmètre du rapport</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[INDIVIDUEL / CONSOLIDÉ]</w:t>
            </w:r>
          </w:p>
        </w:tc>
      </w:tr>
    </w:tbl>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Date d’édition du rapport</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[JJ/MM/AAAA]</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Historique des mises à jour sur ADEMOVA</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[LISTE DES DATES DE MISE À JOUR]</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Taux de complétude — Basic</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[XX %]</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Taux de complétude — Comprehensive</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[XX %]</w:t>
            </w:r>
          </w:p>
        </w:tc>
      </w:tr>
    </w:tbl>
    <w:p>
      <w:pPr>
        <w:spacing w:before="120"/>
        <w:jc w:val="center"/>
      </w:pPr>
      <w:r>
        <w:rPr>
          <w:rFonts w:ascii="Arial" w:cs="Arial" w:eastAsia="Arial" w:hAnsi="Arial"/>
          <w:i/>
          <w:iCs/>
          <w:color w:val="888888"/>
          <w:sz w:val="16"/>
          <w:szCs w:val="16"/>
        </w:rPr>
        <w:t xml:space="preserve">Le module « Module réalisé » s’affiche automatiquement selon le choix du client en V1 (Basic ou Comprehensive).</w:t>
      </w:r>
    </w:p>
    <w:p>
      <w:pPr>
        <w:pageBreakBefore/>
      </w:pPr>
    </w:p>
    <w:p>
      <w:pPr>
        <w:pStyle w:val="Heading1"/>
        <w:spacing w:after="120" w:before="240"/>
      </w:pPr>
      <w:r>
        <w:rPr>
          <w:rFonts w:ascii="Arial" w:cs="Arial" w:eastAsia="Arial" w:hAnsi="Arial"/>
        </w:rPr>
        <w:t xml:space="preserve">Sommaire</w:t>
      </w:r>
    </w:p>
    <w:p>
      <w:pPr>
        <w:pBdr>
          <w:bottom w:val="single" w:color="1F7A4D" w:sz="14" w:space="1"/>
        </w:pBdr>
        <w:spacing w:after="160"/>
      </w:pPr>
    </w:p>
    <w:p>
      <w:pPr>
        <w:spacing w:after="100"/>
      </w:pPr>
      <w:r>
        <w:rPr>
          <w:rFonts w:ascii="Arial" w:cs="Arial" w:eastAsia="Arial" w:hAnsi="Arial"/>
          <w:b/>
          <w:bCs/>
          <w:color w:val="1F7A4D"/>
          <w:sz w:val="22"/>
          <w:szCs w:val="22"/>
        </w:rPr>
        <w:t xml:space="preserve">1.  </w:t>
      </w:r>
      <w:r>
        <w:rPr>
          <w:rFonts w:ascii="Arial" w:cs="Arial" w:eastAsia="Arial" w:hAnsi="Arial"/>
          <w:sz w:val="22"/>
          <w:szCs w:val="22"/>
        </w:rPr>
        <w:t xml:space="preserve">Préambule — Le standard VSME et le périmètre du rapport</w:t>
      </w:r>
    </w:p>
    <w:p>
      <w:pPr>
        <w:spacing w:after="100"/>
      </w:pPr>
      <w:r>
        <w:rPr>
          <w:rFonts w:ascii="Arial" w:cs="Arial" w:eastAsia="Arial" w:hAnsi="Arial"/>
          <w:b/>
          <w:bCs/>
          <w:color w:val="1F7A4D"/>
          <w:sz w:val="22"/>
          <w:szCs w:val="22"/>
        </w:rPr>
        <w:t xml:space="preserve">2.  </w:t>
      </w:r>
      <w:r>
        <w:rPr>
          <w:rFonts w:ascii="Arial" w:cs="Arial" w:eastAsia="Arial" w:hAnsi="Arial"/>
          <w:sz w:val="22"/>
          <w:szCs w:val="22"/>
        </w:rPr>
        <w:t xml:space="preserve">Partie 1 — Informations générales (V2 · B1, C1–C2)</w:t>
      </w:r>
    </w:p>
    <w:p>
      <w:pPr>
        <w:spacing w:after="100"/>
      </w:pPr>
      <w:r>
        <w:rPr>
          <w:rFonts w:ascii="Arial" w:cs="Arial" w:eastAsia="Arial" w:hAnsi="Arial"/>
          <w:b/>
          <w:bCs/>
          <w:color w:val="1F7A4D"/>
          <w:sz w:val="22"/>
          <w:szCs w:val="22"/>
        </w:rPr>
        <w:t xml:space="preserve">3.  </w:t>
      </w:r>
      <w:r>
        <w:rPr>
          <w:rFonts w:ascii="Arial" w:cs="Arial" w:eastAsia="Arial" w:hAnsi="Arial"/>
          <w:sz w:val="22"/>
          <w:szCs w:val="22"/>
        </w:rPr>
        <w:t xml:space="preserve">Partie 2 — Environnement (V3 · B2–B7, C3–C4)</w:t>
      </w:r>
    </w:p>
    <w:p>
      <w:pPr>
        <w:spacing w:after="100"/>
      </w:pPr>
      <w:r>
        <w:rPr>
          <w:rFonts w:ascii="Arial" w:cs="Arial" w:eastAsia="Arial" w:hAnsi="Arial"/>
          <w:b/>
          <w:bCs/>
          <w:color w:val="1F7A4D"/>
          <w:sz w:val="22"/>
          <w:szCs w:val="22"/>
        </w:rPr>
        <w:t xml:space="preserve">4.  </w:t>
      </w:r>
      <w:r>
        <w:rPr>
          <w:rFonts w:ascii="Arial" w:cs="Arial" w:eastAsia="Arial" w:hAnsi="Arial"/>
          <w:sz w:val="22"/>
          <w:szCs w:val="22"/>
        </w:rPr>
        <w:t xml:space="preserve">Partie 3 — Social (V4 · B8–B10, C5–C7)</w:t>
      </w:r>
    </w:p>
    <w:p>
      <w:pPr>
        <w:spacing w:after="100"/>
      </w:pPr>
      <w:r>
        <w:rPr>
          <w:rFonts w:ascii="Arial" w:cs="Arial" w:eastAsia="Arial" w:hAnsi="Arial"/>
          <w:b/>
          <w:bCs/>
          <w:color w:val="1F7A4D"/>
          <w:sz w:val="22"/>
          <w:szCs w:val="22"/>
        </w:rPr>
        <w:t xml:space="preserve">5.  </w:t>
      </w:r>
      <w:r>
        <w:rPr>
          <w:rFonts w:ascii="Arial" w:cs="Arial" w:eastAsia="Arial" w:hAnsi="Arial"/>
          <w:sz w:val="22"/>
          <w:szCs w:val="22"/>
        </w:rPr>
        <w:t xml:space="preserve">Partie 4 — Gouvernance et conduite des affaires (V5 · B11, C8–C9)</w:t>
      </w:r>
    </w:p>
    <w:p>
      <w:pPr>
        <w:spacing w:after="100"/>
      </w:pPr>
      <w:r>
        <w:rPr>
          <w:rFonts w:ascii="Arial" w:cs="Arial" w:eastAsia="Arial" w:hAnsi="Arial"/>
          <w:b/>
          <w:bCs/>
          <w:color w:val="1F7A4D"/>
          <w:sz w:val="22"/>
          <w:szCs w:val="22"/>
        </w:rPr>
        <w:t xml:space="preserve">6.  </w:t>
      </w:r>
      <w:r>
        <w:rPr>
          <w:rFonts w:ascii="Arial" w:cs="Arial" w:eastAsia="Arial" w:hAnsi="Arial"/>
          <w:sz w:val="22"/>
          <w:szCs w:val="22"/>
        </w:rPr>
        <w:t xml:space="preserve">Partie 5 — Pratiques, politiques et initiatives (V6 · B2, C2)</w:t>
      </w:r>
    </w:p>
    <w:p>
      <w:pPr>
        <w:spacing w:after="100"/>
      </w:pPr>
      <w:r>
        <w:rPr>
          <w:rFonts w:ascii="Arial" w:cs="Arial" w:eastAsia="Arial" w:hAnsi="Arial"/>
          <w:b/>
          <w:bCs/>
          <w:color w:val="1F7A4D"/>
          <w:sz w:val="22"/>
          <w:szCs w:val="22"/>
        </w:rPr>
        <w:t xml:space="preserve">7.  </w:t>
      </w:r>
      <w:r>
        <w:rPr>
          <w:rFonts w:ascii="Arial" w:cs="Arial" w:eastAsia="Arial" w:hAnsi="Arial"/>
          <w:sz w:val="22"/>
          <w:szCs w:val="22"/>
        </w:rPr>
        <w:t xml:space="preserve">Validation du rapport (V8)</w:t>
      </w:r>
    </w:p>
    <w:p>
      <w:pPr>
        <w:spacing w:after="100"/>
      </w:pPr>
      <w:r>
        <w:rPr>
          <w:rFonts w:ascii="Arial" w:cs="Arial" w:eastAsia="Arial" w:hAnsi="Arial"/>
          <w:b/>
          <w:bCs/>
          <w:color w:val="1F7A4D"/>
          <w:sz w:val="22"/>
          <w:szCs w:val="22"/>
        </w:rPr>
        <w:t xml:space="preserve">8.  </w:t>
      </w:r>
      <w:r>
        <w:rPr>
          <w:rFonts w:ascii="Arial" w:cs="Arial" w:eastAsia="Arial" w:hAnsi="Arial"/>
          <w:sz w:val="22"/>
          <w:szCs w:val="22"/>
        </w:rPr>
        <w:t xml:space="preserve">Avertissement et limite de responsabilité</w:t>
      </w:r>
    </w:p>
    <w:p>
      <w:pPr>
        <w:pageBreakBefore/>
      </w:pPr>
    </w:p>
    <w:p>
      <w:pPr>
        <w:pStyle w:val="Heading1"/>
        <w:spacing w:after="120" w:before="240"/>
      </w:pPr>
      <w:r>
        <w:rPr>
          <w:rFonts w:ascii="Arial" w:cs="Arial" w:eastAsia="Arial" w:hAnsi="Arial"/>
        </w:rPr>
        <w:t xml:space="preserve">Préambule — Le standard VSME et le périmètre du rapport</w:t>
      </w:r>
    </w:p>
    <w:p>
      <w:pPr>
        <w:pBdr>
          <w:bottom w:val="single" w:color="1F7A4D" w:sz="14" w:space="1"/>
        </w:pBdr>
        <w:spacing w:after="160"/>
      </w:pPr>
    </w:p>
    <w:p>
      <w:pPr>
        <w:spacing w:after="140" w:line="276"/>
      </w:pPr>
      <w:r>
        <w:rPr>
          <w:rFonts w:ascii="Arial" w:cs="Arial" w:eastAsia="Arial" w:hAnsi="Arial"/>
          <w:sz w:val="21"/>
          <w:szCs w:val="21"/>
        </w:rPr>
        <w:t xml:space="preserve">La norme VSME (Voluntary Sustainability Reporting Standard for non-listed SMEs) est un référentiel volontaire de reporting de durabilité publié par l’EFRAG en décembre 2024 à la demande de la Commission européenne. Elle permet aux PME non cotées de communiquer des informations environnementales, sociales et de gouvernance (ESG) de manière harmonisée à l’échelle européenne, sans être soumises aux obligations de la directive CSRD.</w:t>
      </w:r>
    </w:p>
    <w:p>
      <w:pPr>
        <w:spacing w:after="140" w:line="276"/>
      </w:pPr>
      <w:r>
        <w:rPr>
          <w:rFonts w:ascii="Arial" w:cs="Arial" w:eastAsia="Arial" w:hAnsi="Arial"/>
          <w:sz w:val="21"/>
          <w:szCs w:val="21"/>
        </w:rPr>
        <w:t xml:space="preserve">Contrairement au DUERP — établi par établissement sur la base d’un SIRET — le rapport VSME porte sur l’entreprise dans sa globalité et s’appuie donc sur le SIREN de l’entité. Il peut être préparé sur une base individuelle ou consolidée.</w:t>
      </w:r>
    </w:p>
    <w:p>
      <w:pPr>
        <w:pStyle w:val="Heading2"/>
        <w:spacing w:after="80" w:before="180"/>
      </w:pPr>
      <w:r>
        <w:rPr>
          <w:rFonts w:ascii="Arial" w:cs="Arial" w:eastAsia="Arial" w:hAnsi="Arial"/>
        </w:rPr>
        <w:t xml:space="preserve">Les deux modules du standard</w:t>
      </w:r>
    </w:p>
    <w:p>
      <w:pPr>
        <w:spacing w:after="140" w:line="276"/>
      </w:pPr>
      <w:r>
        <w:rPr>
          <w:rFonts w:ascii="Arial" w:cs="Arial" w:eastAsia="Arial" w:hAnsi="Arial"/>
          <w:sz w:val="21"/>
          <w:szCs w:val="21"/>
        </w:rPr>
        <w:t xml:space="preserve">Le standard comprend deux modules. Le module Basic regroupe 11 informations à publier (B1 à B11) et constitue le socle minimal. Le module Comprehensive ajoute 9 informations supplémentaires (C1 à C9), généralement attendues par les banques, les investisseurs et les grands donneurs d’ordre. L’application du module Basic est un prérequis à celle du module Comprehensive ; une fois un module retenu, il doit être appliqué dans son intégralité, chaque information n’étant renseignée que lorsqu’elle est pertinente pour l’entreprise.</w:t>
      </w:r>
    </w:p>
    <w:p>
      <w:pPr>
        <w:spacing w:after="140" w:line="276"/>
      </w:pPr>
      <w:r>
        <w:rPr>
          <w:rFonts w:ascii="Arial" w:cs="Arial" w:eastAsia="Arial" w:hAnsi="Arial"/>
          <w:b/>
          <w:bCs/>
          <w:color w:val="1F7A4D"/>
          <w:sz w:val="21"/>
          <w:szCs w:val="21"/>
        </w:rPr>
        <w:t xml:space="preserve">Le présent rapport est établi selon le module Comprehensive (Basic + Comprehensive).</w:t>
      </w:r>
    </w:p>
    <w:p>
      <w:pPr>
        <w:pStyle w:val="Heading2"/>
        <w:spacing w:after="80" w:before="180"/>
      </w:pPr>
      <w:r>
        <w:rPr>
          <w:rFonts w:ascii="Arial" w:cs="Arial" w:eastAsia="Arial" w:hAnsi="Arial"/>
        </w:rPr>
        <w:t xml:space="preserve">Intérêt et portée</w:t>
      </w:r>
    </w:p>
    <w:p>
      <w:pPr>
        <w:pStyle w:val="ListParagraph"/>
        <w:numPr>
          <w:ilvl w:val="0"/>
          <w:numId w:val="2"/>
        </w:numPr>
        <w:spacing w:after="60"/>
      </w:pPr>
      <w:r>
        <w:rPr>
          <w:rFonts w:ascii="Arial" w:cs="Arial" w:eastAsia="Arial" w:hAnsi="Arial"/>
          <w:sz w:val="21"/>
          <w:szCs w:val="21"/>
        </w:rPr>
        <w:t xml:space="preserve">Répondre aux demandes ESG des clients, banques et investisseurs (financements verts, appels d’offres) ;</w:t>
      </w:r>
    </w:p>
    <w:p>
      <w:pPr>
        <w:pStyle w:val="ListParagraph"/>
        <w:numPr>
          <w:ilvl w:val="0"/>
          <w:numId w:val="2"/>
        </w:numPr>
        <w:spacing w:after="60"/>
      </w:pPr>
      <w:r>
        <w:rPr>
          <w:rFonts w:ascii="Arial" w:cs="Arial" w:eastAsia="Arial" w:hAnsi="Arial"/>
          <w:sz w:val="21"/>
          <w:szCs w:val="21"/>
        </w:rPr>
        <w:t xml:space="preserve">S’aligner volontairement sur la logique de la CSRD et limiter les demandes d’information dans la chaîne de valeur ;</w:t>
      </w:r>
    </w:p>
    <w:p>
      <w:pPr>
        <w:pStyle w:val="ListParagraph"/>
        <w:numPr>
          <w:ilvl w:val="0"/>
          <w:numId w:val="2"/>
        </w:numPr>
        <w:spacing w:after="60"/>
      </w:pPr>
      <w:r>
        <w:rPr>
          <w:rFonts w:ascii="Arial" w:cs="Arial" w:eastAsia="Arial" w:hAnsi="Arial"/>
          <w:sz w:val="21"/>
          <w:szCs w:val="21"/>
        </w:rPr>
        <w:t xml:space="preserve">Structurer une démarche de durabilité crédible et traçable.</w:t>
      </w:r>
    </w:p>
    <w:p>
      <w:pPr>
        <w:spacing w:after="140" w:line="276"/>
      </w:pPr>
      <w:r>
        <w:rPr>
          <w:rFonts w:ascii="Arial" w:cs="Arial" w:eastAsia="Arial" w:hAnsi="Arial"/>
          <w:i/>
          <w:iCs/>
          <w:color w:val="888888"/>
          <w:sz w:val="20"/>
          <w:szCs w:val="20"/>
        </w:rPr>
        <w:t xml:space="preserve">Le VSME étant un référentiel volontaire, ce rapport ne constitue pas une déclaration CSRD et ne fait l’objet d’aucune vérification par un tiers indépendant, sauf démarche distincte engagée par l’entreprise. Les zones surlignées en jaune correspondent aux données renseignées automatiquement à partir des réponses saisies par l’entreprise dans les onglets V1 à V8 de la plateforme.</w:t>
      </w:r>
    </w:p>
    <w:p>
      <w:pPr>
        <w:pageBreakBefore/>
      </w:pPr>
    </w:p>
    <w:p>
      <w:pPr>
        <w:pStyle w:val="Heading1"/>
        <w:spacing w:after="120" w:before="240"/>
      </w:pPr>
      <w:r>
        <w:rPr>
          <w:rFonts w:ascii="Arial" w:cs="Arial" w:eastAsia="Arial" w:hAnsi="Arial"/>
        </w:rPr>
        <w:t xml:space="preserve">Partie 1 — Informations générales</w:t>
      </w:r>
    </w:p>
    <w:p>
      <w:pPr>
        <w:spacing w:after="140" w:line="276"/>
      </w:pPr>
      <w:r>
        <w:rPr>
          <w:rFonts w:ascii="Arial" w:cs="Arial" w:eastAsia="Arial" w:hAnsi="Arial"/>
          <w:b/>
          <w:bCs/>
          <w:color w:val="1F7A4D"/>
          <w:sz w:val="18"/>
          <w:szCs w:val="18"/>
        </w:rPr>
        <w:t xml:space="preserve">Onglet V2 — Général · Informations B1 (base de préparation) et C1–C2 (stratégie)</w:t>
      </w:r>
    </w:p>
    <w:p>
      <w:pPr>
        <w:pBdr>
          <w:bottom w:val="single" w:color="1F7A4D" w:sz="14" w:space="1"/>
        </w:pBdr>
        <w:spacing w:after="160"/>
      </w:pPr>
    </w:p>
    <w:p>
      <w:pPr>
        <w:spacing w:after="140" w:line="276"/>
      </w:pPr>
      <w:r>
        <w:rPr>
          <w:rFonts w:ascii="Arial" w:cs="Arial" w:eastAsia="Arial" w:hAnsi="Arial"/>
          <w:sz w:val="21"/>
          <w:szCs w:val="21"/>
        </w:rPr>
        <w:t xml:space="preserve">L’information B1 décrit la base de préparation du rapport : identité de l’entreprise, forme juridique, codes d’activité, périmètre retenu, taille (effectif, chiffre d’affaires, total de bilan), implantation et éventuelles certifications ou labels détenus. Les informations C1 et C2 (module Comprehensive) précisent le modèle d’affaires et la stratégie de durabilité de l’entreprise.</w:t>
      </w:r>
    </w:p>
    <w:p>
      <w:pPr>
        <w:pStyle w:val="Heading2"/>
        <w:spacing w:after="80" w:before="180"/>
      </w:pPr>
      <w:r>
        <w:rPr>
          <w:rFonts w:ascii="Arial" w:cs="Arial" w:eastAsia="Arial" w:hAnsi="Arial"/>
        </w:rPr>
        <w:t xml:space="preserve">B1 — Base de préparation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Raison sociale</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[NOM DE LA SOCIÉTÉ]</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Forme juridique</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[FORME JURIDIQUE]</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N° SIREN</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[N° SIREN]</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Code(s) NAF / NACE</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[CODES]</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Effectif (ETP)</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[EFFECTIF]</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Chiffre d’affaires</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[CA — €]</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Total de bilan</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[BILAN — €]</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Base de préparation</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[INDIVIDUELLE / CONSOLIDÉE]</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Sites / implantations (géolocalisation)</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[LISTE DES SITES]</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Certifications / labels détenus</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[LISTE OU « AUCUN »]</w:t>
            </w:r>
          </w:p>
        </w:tc>
      </w:tr>
    </w:tbl>
    <w:p>
      <w:pPr>
        <w:pStyle w:val="Heading2"/>
        <w:spacing w:after="80" w:before="180"/>
      </w:pPr>
      <w:r>
        <w:rPr>
          <w:rFonts w:ascii="Arial" w:cs="Arial" w:eastAsia="Arial" w:hAnsi="Arial"/>
        </w:rPr>
        <w:t xml:space="preserve">C1–C2 — Modèle d’affaires et stratégie de durabilité</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Description du modèle d’affaires</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[DESCRIPTION]</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Principaux marchés / clients</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[DESCRIPTION]</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Initiatives et stratégie de durabilité</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[DESCRIPTION]</w:t>
            </w:r>
          </w:p>
        </w:tc>
      </w:tr>
    </w:tbl>
    <w:p>
      <w:pPr>
        <w:pStyle w:val="Heading2"/>
        <w:spacing w:after="80" w:before="180"/>
      </w:pPr>
      <w:r>
        <w:rPr>
          <w:rFonts w:ascii="Arial" w:cs="Arial" w:eastAsia="Arial" w:hAnsi="Arial"/>
        </w:rPr>
        <w:t xml:space="preserve">Pièces jointes — Partie 1</w:t>
      </w:r>
    </w:p>
    <w:p>
      <w:pPr>
        <w:spacing w:after="140" w:line="276"/>
      </w:pPr>
      <w:r>
        <w:rPr>
          <w:rFonts w:ascii="Arial" w:cs="Arial" w:eastAsia="Arial" w:hAnsi="Arial"/>
          <w:sz w:val="21"/>
          <w:szCs w:val="21"/>
        </w:rPr>
        <w:t xml:space="preserve">Les documents éventuellement téléversés sont listés ci-dessous, sans être incorporés au rapport :</w:t>
      </w:r>
    </w:p>
    <w:p>
      <w:pPr>
        <w:pStyle w:val="ListParagraph"/>
        <w:numPr>
          <w:ilvl w:val="0"/>
          <w:numId w:val="2"/>
        </w:numPr>
        <w:spacing w:after="60"/>
      </w:pPr>
      <w:r>
        <w:rPr>
          <w:rFonts w:ascii="Arial" w:cs="Arial" w:eastAsia="Arial" w:hAnsi="Arial"/>
          <w:sz w:val="21"/>
          <w:szCs w:val="21"/>
        </w:rPr>
        <w:t xml:space="preserve">Extrait Kbis / situation SIRENE : </w:t>
      </w:r>
      <w:r>
        <w:rPr>
          <w:rFonts w:ascii="Arial" w:cs="Arial" w:eastAsia="Arial" w:hAnsi="Arial"/>
          <w:sz w:val="21"/>
          <w:szCs w:val="21"/>
          <w:highlight w:val="yellow"/>
        </w:rPr>
        <w:t xml:space="preserve">[NOM DU FICHIER JOINT]</w:t>
      </w:r>
    </w:p>
    <w:p>
      <w:pPr>
        <w:pStyle w:val="ListParagraph"/>
        <w:numPr>
          <w:ilvl w:val="0"/>
          <w:numId w:val="2"/>
        </w:numPr>
        <w:spacing w:after="60"/>
      </w:pPr>
      <w:r>
        <w:rPr>
          <w:rFonts w:ascii="Arial" w:cs="Arial" w:eastAsia="Arial" w:hAnsi="Arial"/>
          <w:sz w:val="21"/>
          <w:szCs w:val="21"/>
        </w:rPr>
        <w:t xml:space="preserve">Organigramme ou périmètre de consolidation : </w:t>
      </w:r>
      <w:r>
        <w:rPr>
          <w:rFonts w:ascii="Arial" w:cs="Arial" w:eastAsia="Arial" w:hAnsi="Arial"/>
          <w:sz w:val="21"/>
          <w:szCs w:val="21"/>
          <w:highlight w:val="yellow"/>
        </w:rPr>
        <w:t xml:space="preserve">[NOM DU FICHIER JOINT]</w:t>
      </w:r>
    </w:p>
    <w:p>
      <w:pPr>
        <w:pStyle w:val="ListParagraph"/>
        <w:numPr>
          <w:ilvl w:val="0"/>
          <w:numId w:val="2"/>
        </w:numPr>
        <w:spacing w:after="60"/>
      </w:pPr>
      <w:r>
        <w:rPr>
          <w:rFonts w:ascii="Arial" w:cs="Arial" w:eastAsia="Arial" w:hAnsi="Arial"/>
          <w:sz w:val="21"/>
          <w:szCs w:val="21"/>
        </w:rPr>
        <w:t xml:space="preserve">Certifications / labels : </w:t>
      </w:r>
      <w:r>
        <w:rPr>
          <w:rFonts w:ascii="Arial" w:cs="Arial" w:eastAsia="Arial" w:hAnsi="Arial"/>
          <w:sz w:val="21"/>
          <w:szCs w:val="21"/>
          <w:highlight w:val="yellow"/>
        </w:rPr>
        <w:t xml:space="preserve">[NOM DU FICHIER JOINT]</w:t>
      </w:r>
    </w:p>
    <w:p>
      <w:pPr>
        <w:pageBreakBefore/>
      </w:pPr>
    </w:p>
    <w:p>
      <w:pPr>
        <w:pStyle w:val="Heading1"/>
        <w:spacing w:after="120" w:before="240"/>
      </w:pPr>
      <w:r>
        <w:rPr>
          <w:rFonts w:ascii="Arial" w:cs="Arial" w:eastAsia="Arial" w:hAnsi="Arial"/>
        </w:rPr>
        <w:t xml:space="preserve">Partie 2 — Environnement</w:t>
      </w:r>
    </w:p>
    <w:p>
      <w:pPr>
        <w:spacing w:after="140" w:line="276"/>
      </w:pPr>
      <w:r>
        <w:rPr>
          <w:rFonts w:ascii="Arial" w:cs="Arial" w:eastAsia="Arial" w:hAnsi="Arial"/>
          <w:b/>
          <w:bCs/>
          <w:color w:val="1F7A4D"/>
          <w:sz w:val="18"/>
          <w:szCs w:val="18"/>
        </w:rPr>
        <w:t xml:space="preserve">Onglet V3 — Environnement · Informations B2–B7 et C3–C4</w:t>
      </w:r>
    </w:p>
    <w:p>
      <w:pPr>
        <w:pBdr>
          <w:bottom w:val="single" w:color="1F7A4D" w:sz="14" w:space="1"/>
        </w:pBdr>
        <w:spacing w:after="160"/>
      </w:pPr>
    </w:p>
    <w:p>
      <w:pPr>
        <w:spacing w:after="140" w:line="276"/>
      </w:pPr>
      <w:r>
        <w:rPr>
          <w:rFonts w:ascii="Arial" w:cs="Arial" w:eastAsia="Arial" w:hAnsi="Arial"/>
          <w:sz w:val="21"/>
          <w:szCs w:val="21"/>
        </w:rPr>
        <w:t xml:space="preserve">Cette partie couvre les enjeux environnementaux du standard : énergie et émissions de gaz à effet de serre, pollution, biodiversité, eau, et gestion des ressources et des déchets. Le module Comprehensive y ajoute les objectifs de réduction des émissions (C3) et l’analyse des risques climatiques (C4).</w:t>
      </w:r>
    </w:p>
    <w:p>
      <w:pPr>
        <w:pStyle w:val="Heading2"/>
        <w:spacing w:after="80" w:before="180"/>
      </w:pPr>
      <w:r>
        <w:rPr>
          <w:rFonts w:ascii="Arial" w:cs="Arial" w:eastAsia="Arial" w:hAnsi="Arial"/>
        </w:rPr>
        <w:t xml:space="preserve">B3 — Énergie et émissions de gaz à effet de serre</w:t>
      </w:r>
    </w:p>
    <w:p>
      <w:pPr>
        <w:spacing w:after="140" w:line="276"/>
      </w:pPr>
      <w:r>
        <w:rPr>
          <w:rFonts w:ascii="Arial" w:cs="Arial" w:eastAsia="Arial" w:hAnsi="Arial"/>
          <w:sz w:val="21"/>
          <w:szCs w:val="21"/>
        </w:rPr>
        <w:t xml:space="preserve">Les émissions sont estimées selon le GHG Protocol : Scope 1 (émissions directes) et Scope 2 calculé selon l’approche « location-based ». Les facteurs d’émission sont issus des bases ADEME associées au secteur (code NAF/APE).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26"/>
        <w:gridCol w:w="1800"/>
        <w:gridCol w:w="2200"/>
      </w:tblGrid>
      <w:tr>
        <w:trPr>
          <w:tblHeader/>
        </w:trPr>
        <w:tc>
          <w:tcPr>
            <w:tcW w:type="dxa" w:w="5026"/>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Indicateur</w:t>
            </w:r>
          </w:p>
        </w:tc>
        <w:tc>
          <w:tcPr>
            <w:tcW w:type="dxa" w:w="1800"/>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Unité</w:t>
            </w:r>
          </w:p>
        </w:tc>
        <w:tc>
          <w:tcPr>
            <w:tcW w:type="dxa" w:w="2200"/>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Valeur déclarée</w:t>
            </w:r>
          </w:p>
        </w:tc>
      </w:tr>
      <w:tr>
        <w:tc>
          <w:tcPr>
            <w:tcW w:type="dxa" w:w="50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Consommation totale d’énergie</w:t>
            </w:r>
          </w:p>
        </w:tc>
        <w:tc>
          <w:tcPr>
            <w:tcW w:type="dxa" w:w="18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rPr>
              <w:t xml:space="preserve">MWh</w:t>
            </w:r>
          </w:p>
        </w:tc>
        <w:tc>
          <w:tcPr>
            <w:tcW w:type="dxa" w:w="22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[VALEUR]</w:t>
            </w:r>
          </w:p>
        </w:tc>
      </w:tr>
      <w:tr>
        <w:tc>
          <w:tcPr>
            <w:tcW w:type="dxa" w:w="50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dont énergie renouvelable</w:t>
            </w:r>
          </w:p>
        </w:tc>
        <w:tc>
          <w:tcPr>
            <w:tcW w:type="dxa" w:w="18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rPr>
              <w:t xml:space="preserve">MWh</w:t>
            </w:r>
          </w:p>
        </w:tc>
        <w:tc>
          <w:tcPr>
            <w:tcW w:type="dxa" w:w="22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[VALEUR]</w:t>
            </w:r>
          </w:p>
        </w:tc>
      </w:tr>
      <w:tr>
        <w:tc>
          <w:tcPr>
            <w:tcW w:type="dxa" w:w="50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Émissions de GES — Scope 1</w:t>
            </w:r>
          </w:p>
        </w:tc>
        <w:tc>
          <w:tcPr>
            <w:tcW w:type="dxa" w:w="18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rPr>
              <w:t xml:space="preserve">tCO₂e</w:t>
            </w:r>
          </w:p>
        </w:tc>
        <w:tc>
          <w:tcPr>
            <w:tcW w:type="dxa" w:w="22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[VALEUR]</w:t>
            </w:r>
          </w:p>
        </w:tc>
      </w:tr>
      <w:tr>
        <w:tc>
          <w:tcPr>
            <w:tcW w:type="dxa" w:w="50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Émissions de GES — Scope 2 (location-based)</w:t>
            </w:r>
          </w:p>
        </w:tc>
        <w:tc>
          <w:tcPr>
            <w:tcW w:type="dxa" w:w="18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rPr>
              <w:t xml:space="preserve">tCO₂e</w:t>
            </w:r>
          </w:p>
        </w:tc>
        <w:tc>
          <w:tcPr>
            <w:tcW w:type="dxa" w:w="22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[VALEUR]</w:t>
            </w:r>
          </w:p>
        </w:tc>
      </w:tr>
      <w:tr>
        <w:tc>
          <w:tcPr>
            <w:tcW w:type="dxa" w:w="50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Intensité d’émissions (par M€ de CA)</w:t>
            </w:r>
          </w:p>
        </w:tc>
        <w:tc>
          <w:tcPr>
            <w:tcW w:type="dxa" w:w="18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rPr>
              <w:t xml:space="preserve">tCO₂e/M€</w:t>
            </w:r>
          </w:p>
        </w:tc>
        <w:tc>
          <w:tcPr>
            <w:tcW w:type="dxa" w:w="22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[VALEUR]</w:t>
            </w:r>
          </w:p>
        </w:tc>
      </w:tr>
    </w:tbl>
    <w:p>
      <w:pPr>
        <w:pStyle w:val="Heading2"/>
        <w:spacing w:after="80" w:before="180"/>
      </w:pPr>
      <w:r>
        <w:rPr>
          <w:rFonts w:ascii="Arial" w:cs="Arial" w:eastAsia="Arial" w:hAnsi="Arial"/>
        </w:rPr>
        <w:t xml:space="preserve">B4 — Pollution de l’air, de l’eau et des sols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Polluants émis / déclarés</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[DESCRIPTION OU « NON APPLICABLE »]</w:t>
            </w:r>
          </w:p>
        </w:tc>
      </w:tr>
    </w:tbl>
    <w:p>
      <w:pPr>
        <w:pStyle w:val="Heading2"/>
        <w:spacing w:after="80" w:before="180"/>
      </w:pPr>
      <w:r>
        <w:rPr>
          <w:rFonts w:ascii="Arial" w:cs="Arial" w:eastAsia="Arial" w:hAnsi="Arial"/>
        </w:rPr>
        <w:t xml:space="preserve">B5 — Biodiversité</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Sites situés dans ou à proximité de zones sensibles</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[OUI / NON — LISTE]</w:t>
            </w:r>
          </w:p>
        </w:tc>
      </w:tr>
    </w:tbl>
    <w:p>
      <w:pPr>
        <w:pStyle w:val="Heading2"/>
        <w:spacing w:after="80" w:before="180"/>
      </w:pPr>
      <w:r>
        <w:rPr>
          <w:rFonts w:ascii="Arial" w:cs="Arial" w:eastAsia="Arial" w:hAnsi="Arial"/>
        </w:rPr>
        <w:t xml:space="preserve">B6 — Eau</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26"/>
        <w:gridCol w:w="1800"/>
        <w:gridCol w:w="2200"/>
      </w:tblGrid>
      <w:tr>
        <w:trPr>
          <w:tblHeader/>
        </w:trPr>
        <w:tc>
          <w:tcPr>
            <w:tcW w:type="dxa" w:w="5026"/>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Indicateur</w:t>
            </w:r>
          </w:p>
        </w:tc>
        <w:tc>
          <w:tcPr>
            <w:tcW w:type="dxa" w:w="1800"/>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Unité</w:t>
            </w:r>
          </w:p>
        </w:tc>
        <w:tc>
          <w:tcPr>
            <w:tcW w:type="dxa" w:w="2200"/>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Valeur déclarée</w:t>
            </w:r>
          </w:p>
        </w:tc>
      </w:tr>
      <w:tr>
        <w:tc>
          <w:tcPr>
            <w:tcW w:type="dxa" w:w="50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Prélèvement d’eau</w:t>
            </w:r>
          </w:p>
        </w:tc>
        <w:tc>
          <w:tcPr>
            <w:tcW w:type="dxa" w:w="18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rPr>
              <w:t xml:space="preserve">m³</w:t>
            </w:r>
          </w:p>
        </w:tc>
        <w:tc>
          <w:tcPr>
            <w:tcW w:type="dxa" w:w="22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[VALEUR]</w:t>
            </w:r>
          </w:p>
        </w:tc>
      </w:tr>
      <w:tr>
        <w:tc>
          <w:tcPr>
            <w:tcW w:type="dxa" w:w="50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Consommation d’eau</w:t>
            </w:r>
          </w:p>
        </w:tc>
        <w:tc>
          <w:tcPr>
            <w:tcW w:type="dxa" w:w="18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rPr>
              <w:t xml:space="preserve">m³</w:t>
            </w:r>
          </w:p>
        </w:tc>
        <w:tc>
          <w:tcPr>
            <w:tcW w:type="dxa" w:w="22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[VALEUR]</w:t>
            </w:r>
          </w:p>
        </w:tc>
      </w:tr>
    </w:tbl>
    <w:p>
      <w:pPr>
        <w:pStyle w:val="Heading2"/>
        <w:spacing w:after="80" w:before="180"/>
      </w:pPr>
      <w:r>
        <w:rPr>
          <w:rFonts w:ascii="Arial" w:cs="Arial" w:eastAsia="Arial" w:hAnsi="Arial"/>
        </w:rPr>
        <w:t xml:space="preserve">B7 — Ressources, économie circulaire et déchets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26"/>
        <w:gridCol w:w="1800"/>
        <w:gridCol w:w="2200"/>
      </w:tblGrid>
      <w:tr>
        <w:trPr>
          <w:tblHeader/>
        </w:trPr>
        <w:tc>
          <w:tcPr>
            <w:tcW w:type="dxa" w:w="5026"/>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Indicateur</w:t>
            </w:r>
          </w:p>
        </w:tc>
        <w:tc>
          <w:tcPr>
            <w:tcW w:type="dxa" w:w="1800"/>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Unité</w:t>
            </w:r>
          </w:p>
        </w:tc>
        <w:tc>
          <w:tcPr>
            <w:tcW w:type="dxa" w:w="2200"/>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Valeur déclarée</w:t>
            </w:r>
          </w:p>
        </w:tc>
      </w:tr>
      <w:tr>
        <w:tc>
          <w:tcPr>
            <w:tcW w:type="dxa" w:w="50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Déchets totaux produits</w:t>
            </w:r>
          </w:p>
        </w:tc>
        <w:tc>
          <w:tcPr>
            <w:tcW w:type="dxa" w:w="18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rPr>
              <w:t xml:space="preserve">t</w:t>
            </w:r>
          </w:p>
        </w:tc>
        <w:tc>
          <w:tcPr>
            <w:tcW w:type="dxa" w:w="22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[VALEUR]</w:t>
            </w:r>
          </w:p>
        </w:tc>
      </w:tr>
      <w:tr>
        <w:tc>
          <w:tcPr>
            <w:tcW w:type="dxa" w:w="50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dont déchets dangereux</w:t>
            </w:r>
          </w:p>
        </w:tc>
        <w:tc>
          <w:tcPr>
            <w:tcW w:type="dxa" w:w="18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rPr>
              <w:t xml:space="preserve">t</w:t>
            </w:r>
          </w:p>
        </w:tc>
        <w:tc>
          <w:tcPr>
            <w:tcW w:type="dxa" w:w="22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[VALEUR]</w:t>
            </w:r>
          </w:p>
        </w:tc>
      </w:tr>
      <w:tr>
        <w:tc>
          <w:tcPr>
            <w:tcW w:type="dxa" w:w="50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Part valorisée / recyclée</w:t>
            </w:r>
          </w:p>
        </w:tc>
        <w:tc>
          <w:tcPr>
            <w:tcW w:type="dxa" w:w="18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rPr>
              <w:t xml:space="preserve">%</w:t>
            </w:r>
          </w:p>
        </w:tc>
        <w:tc>
          <w:tcPr>
            <w:tcW w:type="dxa" w:w="22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[VALEUR]</w:t>
            </w:r>
          </w:p>
        </w:tc>
      </w:tr>
    </w:tbl>
    <w:p>
      <w:pPr>
        <w:pStyle w:val="Heading2"/>
        <w:spacing w:after="80" w:before="180"/>
      </w:pPr>
      <w:r>
        <w:rPr>
          <w:rFonts w:ascii="Arial" w:cs="Arial" w:eastAsia="Arial" w:hAnsi="Arial"/>
        </w:rPr>
        <w:t xml:space="preserve">C3 — Objectifs de réduction des GES et transition climatique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Objectif de réduction des émissions</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[OBJECTIF + ANNÉE CIBLE]</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Plan de transition climatique</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[DESCRIPTION OU « EN COURS »]</w:t>
            </w:r>
          </w:p>
        </w:tc>
      </w:tr>
    </w:tbl>
    <w:p>
      <w:pPr>
        <w:pStyle w:val="Heading2"/>
        <w:spacing w:after="80" w:before="180"/>
      </w:pPr>
      <w:r>
        <w:rPr>
          <w:rFonts w:ascii="Arial" w:cs="Arial" w:eastAsia="Arial" w:hAnsi="Arial"/>
        </w:rPr>
        <w:t xml:space="preserve">C4 — Risques climatiques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Risques physiques identifiés</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[DESCRIPTION]</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Risques de transition identifiés</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[DESCRIPTION]</w:t>
            </w:r>
          </w:p>
        </w:tc>
      </w:tr>
    </w:tbl>
    <w:p>
      <w:pPr>
        <w:pStyle w:val="Heading2"/>
        <w:spacing w:after="80" w:before="180"/>
      </w:pPr>
      <w:r>
        <w:rPr>
          <w:rFonts w:ascii="Arial" w:cs="Arial" w:eastAsia="Arial" w:hAnsi="Arial"/>
        </w:rPr>
        <w:t xml:space="preserve">Pièces jointes — Partie 2</w:t>
      </w:r>
    </w:p>
    <w:p>
      <w:pPr>
        <w:spacing w:after="140" w:line="276"/>
      </w:pPr>
      <w:r>
        <w:rPr>
          <w:rFonts w:ascii="Arial" w:cs="Arial" w:eastAsia="Arial" w:hAnsi="Arial"/>
          <w:sz w:val="21"/>
          <w:szCs w:val="21"/>
        </w:rPr>
        <w:t xml:space="preserve">Liste des justificatifs déclarés (non incorporés) :</w:t>
      </w:r>
    </w:p>
    <w:p>
      <w:pPr>
        <w:pStyle w:val="ListParagraph"/>
        <w:numPr>
          <w:ilvl w:val="0"/>
          <w:numId w:val="2"/>
        </w:numPr>
        <w:spacing w:after="60"/>
      </w:pPr>
      <w:r>
        <w:rPr>
          <w:rFonts w:ascii="Arial" w:cs="Arial" w:eastAsia="Arial" w:hAnsi="Arial"/>
          <w:sz w:val="21"/>
          <w:szCs w:val="21"/>
        </w:rPr>
        <w:t xml:space="preserve">Factures / relevés énergie : </w:t>
      </w:r>
      <w:r>
        <w:rPr>
          <w:rFonts w:ascii="Arial" w:cs="Arial" w:eastAsia="Arial" w:hAnsi="Arial"/>
          <w:sz w:val="21"/>
          <w:szCs w:val="21"/>
          <w:highlight w:val="yellow"/>
        </w:rPr>
        <w:t xml:space="preserve">[NOM DU FICHIER JOINT]</w:t>
      </w:r>
    </w:p>
    <w:p>
      <w:pPr>
        <w:pStyle w:val="ListParagraph"/>
        <w:numPr>
          <w:ilvl w:val="0"/>
          <w:numId w:val="2"/>
        </w:numPr>
        <w:spacing w:after="60"/>
      </w:pPr>
      <w:r>
        <w:rPr>
          <w:rFonts w:ascii="Arial" w:cs="Arial" w:eastAsia="Arial" w:hAnsi="Arial"/>
          <w:sz w:val="21"/>
          <w:szCs w:val="21"/>
        </w:rPr>
        <w:t xml:space="preserve">Bilan carbone existant : </w:t>
      </w:r>
      <w:r>
        <w:rPr>
          <w:rFonts w:ascii="Arial" w:cs="Arial" w:eastAsia="Arial" w:hAnsi="Arial"/>
          <w:sz w:val="21"/>
          <w:szCs w:val="21"/>
          <w:highlight w:val="yellow"/>
        </w:rPr>
        <w:t xml:space="preserve">[NOM DU FICHIER JOINT]</w:t>
      </w:r>
    </w:p>
    <w:p>
      <w:pPr>
        <w:pStyle w:val="ListParagraph"/>
        <w:numPr>
          <w:ilvl w:val="0"/>
          <w:numId w:val="2"/>
        </w:numPr>
        <w:spacing w:after="60"/>
      </w:pPr>
      <w:r>
        <w:rPr>
          <w:rFonts w:ascii="Arial" w:cs="Arial" w:eastAsia="Arial" w:hAnsi="Arial"/>
          <w:sz w:val="21"/>
          <w:szCs w:val="21"/>
        </w:rPr>
        <w:t xml:space="preserve">Justificatifs déchets / valorisation : </w:t>
      </w:r>
      <w:r>
        <w:rPr>
          <w:rFonts w:ascii="Arial" w:cs="Arial" w:eastAsia="Arial" w:hAnsi="Arial"/>
          <w:sz w:val="21"/>
          <w:szCs w:val="21"/>
          <w:highlight w:val="yellow"/>
        </w:rPr>
        <w:t xml:space="preserve">[NOM DU FICHIER JOINT]</w:t>
      </w:r>
    </w:p>
    <w:p>
      <w:pPr>
        <w:pageBreakBefore/>
      </w:pPr>
    </w:p>
    <w:p>
      <w:pPr>
        <w:pStyle w:val="Heading1"/>
        <w:spacing w:after="120" w:before="240"/>
      </w:pPr>
      <w:r>
        <w:rPr>
          <w:rFonts w:ascii="Arial" w:cs="Arial" w:eastAsia="Arial" w:hAnsi="Arial"/>
        </w:rPr>
        <w:t xml:space="preserve">Partie 3 — Social</w:t>
      </w:r>
    </w:p>
    <w:p>
      <w:pPr>
        <w:spacing w:after="140" w:line="276"/>
      </w:pPr>
      <w:r>
        <w:rPr>
          <w:rFonts w:ascii="Arial" w:cs="Arial" w:eastAsia="Arial" w:hAnsi="Arial"/>
          <w:b/>
          <w:bCs/>
          <w:color w:val="1F7A4D"/>
          <w:sz w:val="18"/>
          <w:szCs w:val="18"/>
        </w:rPr>
        <w:t xml:space="preserve">Onglet V4 — Social · Informations B8–B10 et C5–C7</w:t>
      </w:r>
    </w:p>
    <w:p>
      <w:pPr>
        <w:pBdr>
          <w:bottom w:val="single" w:color="1F7A4D" w:sz="14" w:space="1"/>
        </w:pBdr>
        <w:spacing w:after="160"/>
      </w:pPr>
    </w:p>
    <w:p>
      <w:pPr>
        <w:spacing w:after="140" w:line="276"/>
      </w:pPr>
      <w:r>
        <w:rPr>
          <w:rFonts w:ascii="Arial" w:cs="Arial" w:eastAsia="Arial" w:hAnsi="Arial"/>
          <w:sz w:val="21"/>
          <w:szCs w:val="21"/>
        </w:rPr>
        <w:t xml:space="preserve">Cette partie présente les informations relatives aux effectifs. Plusieurs données sont pré-remplies à partir du DUERP de l’entreprise (effectifs, accidents du travail, formations). Le module Comprehensive ajoute des caractéristiques complémentaires (C5) ainsi que les politiques et incidents en matière de droits humains (C6–C7).</w:t>
      </w:r>
    </w:p>
    <w:p>
      <w:pPr>
        <w:pStyle w:val="Heading2"/>
        <w:spacing w:after="80" w:before="180"/>
      </w:pPr>
      <w:r>
        <w:rPr>
          <w:rFonts w:ascii="Arial" w:cs="Arial" w:eastAsia="Arial" w:hAnsi="Arial"/>
        </w:rPr>
        <w:t xml:space="preserve">B8 — Effectifs : caractéristiques générales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26"/>
        <w:gridCol w:w="1800"/>
        <w:gridCol w:w="2200"/>
      </w:tblGrid>
      <w:tr>
        <w:trPr>
          <w:tblHeader/>
        </w:trPr>
        <w:tc>
          <w:tcPr>
            <w:tcW w:type="dxa" w:w="5026"/>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Indicateur</w:t>
            </w:r>
          </w:p>
        </w:tc>
        <w:tc>
          <w:tcPr>
            <w:tcW w:type="dxa" w:w="1800"/>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Unité</w:t>
            </w:r>
          </w:p>
        </w:tc>
        <w:tc>
          <w:tcPr>
            <w:tcW w:type="dxa" w:w="2200"/>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Valeur déclarée</w:t>
            </w:r>
          </w:p>
        </w:tc>
      </w:tr>
      <w:tr>
        <w:tc>
          <w:tcPr>
            <w:tcW w:type="dxa" w:w="50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Effectif total (ETP)</w:t>
            </w:r>
          </w:p>
        </w:tc>
        <w:tc>
          <w:tcPr>
            <w:tcW w:type="dxa" w:w="18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rPr>
              <w:t xml:space="preserve">ETP</w:t>
            </w:r>
          </w:p>
        </w:tc>
        <w:tc>
          <w:tcPr>
            <w:tcW w:type="dxa" w:w="22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[VALEUR]</w:t>
            </w:r>
          </w:p>
        </w:tc>
      </w:tr>
      <w:tr>
        <w:tc>
          <w:tcPr>
            <w:tcW w:type="dxa" w:w="50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Répartition femmes / hommes</w:t>
            </w:r>
          </w:p>
        </w:tc>
        <w:tc>
          <w:tcPr>
            <w:tcW w:type="dxa" w:w="18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rPr>
              <w:t xml:space="preserve">%</w:t>
            </w:r>
          </w:p>
        </w:tc>
        <w:tc>
          <w:tcPr>
            <w:tcW w:type="dxa" w:w="22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[VALEUR]</w:t>
            </w:r>
          </w:p>
        </w:tc>
      </w:tr>
      <w:tr>
        <w:tc>
          <w:tcPr>
            <w:tcW w:type="dxa" w:w="50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Contrats à durée indéterminée</w:t>
            </w:r>
          </w:p>
        </w:tc>
        <w:tc>
          <w:tcPr>
            <w:tcW w:type="dxa" w:w="18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rPr>
              <w:t xml:space="preserve">%</w:t>
            </w:r>
          </w:p>
        </w:tc>
        <w:tc>
          <w:tcPr>
            <w:tcW w:type="dxa" w:w="22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[VALEUR]</w:t>
            </w:r>
          </w:p>
        </w:tc>
      </w:tr>
    </w:tbl>
    <w:p>
      <w:pPr>
        <w:pStyle w:val="Heading2"/>
        <w:spacing w:after="80" w:before="180"/>
      </w:pPr>
      <w:r>
        <w:rPr>
          <w:rFonts w:ascii="Arial" w:cs="Arial" w:eastAsia="Arial" w:hAnsi="Arial"/>
        </w:rPr>
        <w:t xml:space="preserve">B9 — Santé et sécurité</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26"/>
        <w:gridCol w:w="1800"/>
        <w:gridCol w:w="2200"/>
      </w:tblGrid>
      <w:tr>
        <w:trPr>
          <w:tblHeader/>
        </w:trPr>
        <w:tc>
          <w:tcPr>
            <w:tcW w:type="dxa" w:w="5026"/>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Indicateur</w:t>
            </w:r>
          </w:p>
        </w:tc>
        <w:tc>
          <w:tcPr>
            <w:tcW w:type="dxa" w:w="1800"/>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Unité</w:t>
            </w:r>
          </w:p>
        </w:tc>
        <w:tc>
          <w:tcPr>
            <w:tcW w:type="dxa" w:w="2200"/>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Valeur déclarée</w:t>
            </w:r>
          </w:p>
        </w:tc>
      </w:tr>
      <w:tr>
        <w:tc>
          <w:tcPr>
            <w:tcW w:type="dxa" w:w="50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Accidents du travail (nombre)</w:t>
            </w:r>
          </w:p>
        </w:tc>
        <w:tc>
          <w:tcPr>
            <w:tcW w:type="dxa" w:w="18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rPr>
              <w:t xml:space="preserve">nb</w:t>
            </w:r>
          </w:p>
        </w:tc>
        <w:tc>
          <w:tcPr>
            <w:tcW w:type="dxa" w:w="22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[VALEUR]</w:t>
            </w:r>
          </w:p>
        </w:tc>
      </w:tr>
      <w:tr>
        <w:tc>
          <w:tcPr>
            <w:tcW w:type="dxa" w:w="50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Taux de fréquence</w:t>
            </w:r>
          </w:p>
        </w:tc>
        <w:tc>
          <w:tcPr>
            <w:tcW w:type="dxa" w:w="18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rPr>
              <w:t xml:space="preserve">—</w:t>
            </w:r>
          </w:p>
        </w:tc>
        <w:tc>
          <w:tcPr>
            <w:tcW w:type="dxa" w:w="22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[VALEUR]</w:t>
            </w:r>
          </w:p>
        </w:tc>
      </w:tr>
      <w:tr>
        <w:tc>
          <w:tcPr>
            <w:tcW w:type="dxa" w:w="50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Décès liés au travail</w:t>
            </w:r>
          </w:p>
        </w:tc>
        <w:tc>
          <w:tcPr>
            <w:tcW w:type="dxa" w:w="18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rPr>
              <w:t xml:space="preserve">nb</w:t>
            </w:r>
          </w:p>
        </w:tc>
        <w:tc>
          <w:tcPr>
            <w:tcW w:type="dxa" w:w="22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[VALEUR]</w:t>
            </w:r>
          </w:p>
        </w:tc>
      </w:tr>
    </w:tbl>
    <w:p>
      <w:pPr>
        <w:pStyle w:val="Heading2"/>
        <w:spacing w:after="80" w:before="180"/>
      </w:pPr>
      <w:r>
        <w:rPr>
          <w:rFonts w:ascii="Arial" w:cs="Arial" w:eastAsia="Arial" w:hAnsi="Arial"/>
        </w:rPr>
        <w:t xml:space="preserve">B10 — Rémunération, négociation collective et formation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Convention collective applicable</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[IDCC / INTITULÉ]</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Salariés couverts par une convention collective</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Écart de rémunération femmes/hommes (si ≥ 150 salariés)</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 OU « NON APPLICABLE »]</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Heures de formation par salarié</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[H]</w:t>
            </w:r>
          </w:p>
        </w:tc>
      </w:tr>
    </w:tbl>
    <w:p>
      <w:pPr>
        <w:pStyle w:val="Heading2"/>
        <w:spacing w:after="80" w:before="180"/>
      </w:pPr>
      <w:r>
        <w:rPr>
          <w:rFonts w:ascii="Arial" w:cs="Arial" w:eastAsia="Arial" w:hAnsi="Arial"/>
        </w:rPr>
        <w:t xml:space="preserve">C5 — Caractéristiques complémentaires des effectifs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Pyramide des âges / ancienneté / turnover</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[DONNÉES]</w:t>
            </w:r>
          </w:p>
        </w:tc>
      </w:tr>
    </w:tbl>
    <w:p>
      <w:pPr>
        <w:pStyle w:val="Heading2"/>
        <w:spacing w:after="80" w:before="180"/>
      </w:pPr>
      <w:r>
        <w:rPr>
          <w:rFonts w:ascii="Arial" w:cs="Arial" w:eastAsia="Arial" w:hAnsi="Arial"/>
        </w:rPr>
        <w:t xml:space="preserve">C6–C7 — Droits humains : politiques et incidents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Politique droits humains formalisée</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[OUI / NON]</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Procédure de signalement (alerte)</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[OUI / NON]</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Incidents graves en matière de droits humains</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[NOMBRE OU « AUCUN »]</w:t>
            </w:r>
          </w:p>
        </w:tc>
      </w:tr>
    </w:tbl>
    <w:p>
      <w:pPr>
        <w:pStyle w:val="Heading2"/>
        <w:spacing w:after="80" w:before="180"/>
      </w:pPr>
      <w:r>
        <w:rPr>
          <w:rFonts w:ascii="Arial" w:cs="Arial" w:eastAsia="Arial" w:hAnsi="Arial"/>
        </w:rPr>
        <w:t xml:space="preserve">V4.5 — Check-list des éléments actés par le client</w:t>
      </w:r>
    </w:p>
    <w:p>
      <w:pPr>
        <w:spacing w:after="140" w:line="276"/>
      </w:pPr>
      <w:r>
        <w:rPr>
          <w:rFonts w:ascii="Arial" w:cs="Arial" w:eastAsia="Arial" w:hAnsi="Arial"/>
          <w:sz w:val="21"/>
          <w:szCs w:val="21"/>
        </w:rPr>
        <w:t xml:space="preserve">Cette check-list récapitule les éléments confirmés par l’entreprise dans l’onglet V4. Conformément au choix retenu, les documents justificatifs ne sont pas incorporés au rapport : seul le statut déclaré est repris.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526"/>
        <w:gridCol w:w="2500"/>
      </w:tblGrid>
      <w:tr>
        <w:trPr>
          <w:tblHeader/>
        </w:trPr>
        <w:tc>
          <w:tcPr>
            <w:tcW w:type="dxa" w:w="6526"/>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Élément acté par le client</w:t>
            </w:r>
          </w:p>
        </w:tc>
        <w:tc>
          <w:tcPr>
            <w:tcW w:type="dxa" w:w="2500"/>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Statut déclaré</w:t>
            </w:r>
          </w:p>
        </w:tc>
      </w:tr>
      <w:tr>
        <w:tc>
          <w:tcPr>
            <w:tcW w:type="dxa" w:w="65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Politique de santé et sécurité au travail formalisée</w:t>
            </w:r>
          </w:p>
        </w:tc>
        <w:tc>
          <w:tcPr>
            <w:tcW w:type="dxa" w:w="2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[Acté / Non acté]</w:t>
            </w:r>
          </w:p>
        </w:tc>
      </w:tr>
      <w:tr>
        <w:tc>
          <w:tcPr>
            <w:tcW w:type="dxa" w:w="65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DUERP à jour rattaché à l’entreprise</w:t>
            </w:r>
          </w:p>
        </w:tc>
        <w:tc>
          <w:tcPr>
            <w:tcW w:type="dxa" w:w="2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[Acté / Non acté]</w:t>
            </w:r>
          </w:p>
        </w:tc>
      </w:tr>
      <w:tr>
        <w:tc>
          <w:tcPr>
            <w:tcW w:type="dxa" w:w="65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Convention / accord collectif applicable</w:t>
            </w:r>
          </w:p>
        </w:tc>
        <w:tc>
          <w:tcPr>
            <w:tcW w:type="dxa" w:w="2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[Acté / Non acté]</w:t>
            </w:r>
          </w:p>
        </w:tc>
      </w:tr>
      <w:tr>
        <w:tc>
          <w:tcPr>
            <w:tcW w:type="dxa" w:w="65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Plan ou actions de formation des salariés</w:t>
            </w:r>
          </w:p>
        </w:tc>
        <w:tc>
          <w:tcPr>
            <w:tcW w:type="dxa" w:w="2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[Acté / Non acté]</w:t>
            </w:r>
          </w:p>
        </w:tc>
      </w:tr>
      <w:tr>
        <w:tc>
          <w:tcPr>
            <w:tcW w:type="dxa" w:w="65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Mesures d’égalité professionnelle femmes / hommes</w:t>
            </w:r>
          </w:p>
        </w:tc>
        <w:tc>
          <w:tcPr>
            <w:tcW w:type="dxa" w:w="2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[Acté / Non acté]</w:t>
            </w:r>
          </w:p>
        </w:tc>
      </w:tr>
      <w:tr>
        <w:tc>
          <w:tcPr>
            <w:tcW w:type="dxa" w:w="65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Politique de prévention des discriminations</w:t>
            </w:r>
          </w:p>
        </w:tc>
        <w:tc>
          <w:tcPr>
            <w:tcW w:type="dxa" w:w="2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[Acté / Non acté]</w:t>
            </w:r>
          </w:p>
        </w:tc>
      </w:tr>
      <w:tr>
        <w:tc>
          <w:tcPr>
            <w:tcW w:type="dxa" w:w="65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Politique relative aux droits humains</w:t>
            </w:r>
          </w:p>
        </w:tc>
        <w:tc>
          <w:tcPr>
            <w:tcW w:type="dxa" w:w="2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[Acté / Non acté]</w:t>
            </w:r>
          </w:p>
        </w:tc>
      </w:tr>
      <w:tr>
        <w:tc>
          <w:tcPr>
            <w:tcW w:type="dxa" w:w="65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Dispositif de signalement / droit d’alerte</w:t>
            </w:r>
          </w:p>
        </w:tc>
        <w:tc>
          <w:tcPr>
            <w:tcW w:type="dxa" w:w="2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[Acté / Non acté]</w:t>
            </w:r>
          </w:p>
        </w:tc>
      </w:tr>
    </w:tbl>
    <w:p>
      <w:pPr>
        <w:pStyle w:val="Heading2"/>
        <w:spacing w:after="80" w:before="180"/>
      </w:pPr>
      <w:r>
        <w:rPr>
          <w:rFonts w:ascii="Arial" w:cs="Arial" w:eastAsia="Arial" w:hAnsi="Arial"/>
        </w:rPr>
        <w:t xml:space="preserve">Pièces jointes et actions — Partie 3</w:t>
      </w:r>
    </w:p>
    <w:p>
      <w:pPr>
        <w:spacing w:after="140" w:line="276"/>
      </w:pPr>
      <w:r>
        <w:rPr>
          <w:rFonts w:ascii="Arial" w:cs="Arial" w:eastAsia="Arial" w:hAnsi="Arial"/>
          <w:sz w:val="21"/>
          <w:szCs w:val="21"/>
        </w:rPr>
        <w:t xml:space="preserve">Liste des pièces jointes et/ou actions déclarées (noms seulement, sans incorporation) :</w:t>
      </w:r>
    </w:p>
    <w:p>
      <w:pPr>
        <w:pStyle w:val="ListParagraph"/>
        <w:numPr>
          <w:ilvl w:val="0"/>
          <w:numId w:val="2"/>
        </w:numPr>
        <w:spacing w:after="60"/>
      </w:pPr>
      <w:r>
        <w:rPr>
          <w:rFonts w:ascii="Arial" w:cs="Arial" w:eastAsia="Arial" w:hAnsi="Arial"/>
          <w:sz w:val="21"/>
          <w:szCs w:val="21"/>
        </w:rPr>
        <w:t xml:space="preserve">Accord / convention collective : </w:t>
      </w:r>
      <w:r>
        <w:rPr>
          <w:rFonts w:ascii="Arial" w:cs="Arial" w:eastAsia="Arial" w:hAnsi="Arial"/>
          <w:sz w:val="21"/>
          <w:szCs w:val="21"/>
          <w:highlight w:val="yellow"/>
        </w:rPr>
        <w:t xml:space="preserve">[NOM DU FICHIER JOINT]</w:t>
      </w:r>
    </w:p>
    <w:p>
      <w:pPr>
        <w:pStyle w:val="ListParagraph"/>
        <w:numPr>
          <w:ilvl w:val="0"/>
          <w:numId w:val="2"/>
        </w:numPr>
        <w:spacing w:after="60"/>
      </w:pPr>
      <w:r>
        <w:rPr>
          <w:rFonts w:ascii="Arial" w:cs="Arial" w:eastAsia="Arial" w:hAnsi="Arial"/>
          <w:sz w:val="21"/>
          <w:szCs w:val="21"/>
        </w:rPr>
        <w:t xml:space="preserve">Plan de formation : </w:t>
      </w:r>
      <w:r>
        <w:rPr>
          <w:rFonts w:ascii="Arial" w:cs="Arial" w:eastAsia="Arial" w:hAnsi="Arial"/>
          <w:sz w:val="21"/>
          <w:szCs w:val="21"/>
          <w:highlight w:val="yellow"/>
        </w:rPr>
        <w:t xml:space="preserve">[NOM DU FICHIER JOINT]</w:t>
      </w:r>
    </w:p>
    <w:p>
      <w:pPr>
        <w:pStyle w:val="ListParagraph"/>
        <w:numPr>
          <w:ilvl w:val="0"/>
          <w:numId w:val="2"/>
        </w:numPr>
        <w:spacing w:after="60"/>
      </w:pPr>
      <w:r>
        <w:rPr>
          <w:rFonts w:ascii="Arial" w:cs="Arial" w:eastAsia="Arial" w:hAnsi="Arial"/>
          <w:sz w:val="21"/>
          <w:szCs w:val="21"/>
        </w:rPr>
        <w:t xml:space="preserve">Politique droits humains / code de conduite : </w:t>
      </w:r>
      <w:r>
        <w:rPr>
          <w:rFonts w:ascii="Arial" w:cs="Arial" w:eastAsia="Arial" w:hAnsi="Arial"/>
          <w:sz w:val="21"/>
          <w:szCs w:val="21"/>
          <w:highlight w:val="yellow"/>
        </w:rPr>
        <w:t xml:space="preserve">[NOM DU FICHIER JOINT]</w:t>
      </w:r>
    </w:p>
    <w:p>
      <w:pPr>
        <w:pageBreakBefore/>
      </w:pPr>
    </w:p>
    <w:p>
      <w:pPr>
        <w:pStyle w:val="Heading1"/>
        <w:spacing w:after="120" w:before="240"/>
      </w:pPr>
      <w:r>
        <w:rPr>
          <w:rFonts w:ascii="Arial" w:cs="Arial" w:eastAsia="Arial" w:hAnsi="Arial"/>
        </w:rPr>
        <w:t xml:space="preserve">Partie 4 — Gouvernance et conduite des affaires</w:t>
      </w:r>
    </w:p>
    <w:p>
      <w:pPr>
        <w:spacing w:after="140" w:line="276"/>
      </w:pPr>
      <w:r>
        <w:rPr>
          <w:rFonts w:ascii="Arial" w:cs="Arial" w:eastAsia="Arial" w:hAnsi="Arial"/>
          <w:b/>
          <w:bCs/>
          <w:color w:val="1F7A4D"/>
          <w:sz w:val="18"/>
          <w:szCs w:val="18"/>
        </w:rPr>
        <w:t xml:space="preserve">Onglet V5 — Gouvernance · Informations B11 et C8–C9</w:t>
      </w:r>
    </w:p>
    <w:p>
      <w:pPr>
        <w:pBdr>
          <w:bottom w:val="single" w:color="1F7A4D" w:sz="14" w:space="1"/>
        </w:pBdr>
        <w:spacing w:after="160"/>
      </w:pPr>
    </w:p>
    <w:p>
      <w:pPr>
        <w:spacing w:after="140" w:line="276"/>
      </w:pPr>
      <w:r>
        <w:rPr>
          <w:rFonts w:ascii="Arial" w:cs="Arial" w:eastAsia="Arial" w:hAnsi="Arial"/>
          <w:sz w:val="21"/>
          <w:szCs w:val="21"/>
        </w:rPr>
        <w:t xml:space="preserve">Cette partie traite de la conduite des affaires et de la gouvernance : condamnations et amendes en matière de corruption (B11), exposition à certains secteurs sensibles (C8) et diversité de genre au sein de l’organe de gouvernance (C9).</w:t>
      </w:r>
    </w:p>
    <w:p>
      <w:pPr>
        <w:pStyle w:val="Heading2"/>
        <w:spacing w:after="80" w:before="180"/>
      </w:pPr>
      <w:r>
        <w:rPr>
          <w:rFonts w:ascii="Arial" w:cs="Arial" w:eastAsia="Arial" w:hAnsi="Arial"/>
        </w:rPr>
        <w:t xml:space="preserve">B11 — Condamnations et amendes pour corruption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Condamnations pour corruption (nombre)</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[NOMBRE OU « AUCUNE »]</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Montant total des amendes</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 OU « 0 »]</w:t>
            </w:r>
          </w:p>
        </w:tc>
      </w:tr>
    </w:tbl>
    <w:p>
      <w:pPr>
        <w:pStyle w:val="Heading2"/>
        <w:spacing w:after="80" w:before="180"/>
      </w:pPr>
      <w:r>
        <w:rPr>
          <w:rFonts w:ascii="Arial" w:cs="Arial" w:eastAsia="Arial" w:hAnsi="Arial"/>
        </w:rPr>
        <w:t xml:space="preserve">C8 — Revenus de secteurs spécifiques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Activité dans des secteurs spécifiques (armes, tabac, énergies fossiles…)</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[OUI / NON]</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Exclusion des indices de référence UE</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[OUI / NON / NON APPLICABLE]</w:t>
            </w:r>
          </w:p>
        </w:tc>
      </w:tr>
    </w:tbl>
    <w:p>
      <w:pPr>
        <w:pStyle w:val="Heading2"/>
        <w:spacing w:after="80" w:before="180"/>
      </w:pPr>
      <w:r>
        <w:rPr>
          <w:rFonts w:ascii="Arial" w:cs="Arial" w:eastAsia="Arial" w:hAnsi="Arial"/>
        </w:rPr>
        <w:t xml:space="preserve">C9 — Ratio de diversité de genre dans l’organe de gouvernance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Ratio de diversité de genre (organe de gouvernance)</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 ]</w:t>
            </w:r>
          </w:p>
        </w:tc>
      </w:tr>
    </w:tbl>
    <w:p>
      <w:pPr>
        <w:pStyle w:val="Heading2"/>
        <w:spacing w:after="80" w:before="180"/>
      </w:pPr>
      <w:r>
        <w:rPr>
          <w:rFonts w:ascii="Arial" w:cs="Arial" w:eastAsia="Arial" w:hAnsi="Arial"/>
        </w:rPr>
        <w:t xml:space="preserve">Pièces jointes — Partie 4</w:t>
      </w:r>
    </w:p>
    <w:p>
      <w:pPr>
        <w:spacing w:after="140" w:line="276"/>
      </w:pPr>
      <w:r>
        <w:rPr>
          <w:rFonts w:ascii="Arial" w:cs="Arial" w:eastAsia="Arial" w:hAnsi="Arial"/>
          <w:sz w:val="21"/>
          <w:szCs w:val="21"/>
        </w:rPr>
        <w:t xml:space="preserve">Liste des justificatifs déclarés (non incorporés) :</w:t>
      </w:r>
    </w:p>
    <w:p>
      <w:pPr>
        <w:pStyle w:val="ListParagraph"/>
        <w:numPr>
          <w:ilvl w:val="0"/>
          <w:numId w:val="2"/>
        </w:numPr>
        <w:spacing w:after="60"/>
      </w:pPr>
      <w:r>
        <w:rPr>
          <w:rFonts w:ascii="Arial" w:cs="Arial" w:eastAsia="Arial" w:hAnsi="Arial"/>
          <w:sz w:val="21"/>
          <w:szCs w:val="21"/>
        </w:rPr>
        <w:t xml:space="preserve">Code de conduite / politique anticorruption : </w:t>
      </w:r>
      <w:r>
        <w:rPr>
          <w:rFonts w:ascii="Arial" w:cs="Arial" w:eastAsia="Arial" w:hAnsi="Arial"/>
          <w:sz w:val="21"/>
          <w:szCs w:val="21"/>
          <w:highlight w:val="yellow"/>
        </w:rPr>
        <w:t xml:space="preserve">[NOM DU FICHIER JOINT]</w:t>
      </w:r>
    </w:p>
    <w:p>
      <w:pPr>
        <w:pStyle w:val="ListParagraph"/>
        <w:numPr>
          <w:ilvl w:val="0"/>
          <w:numId w:val="2"/>
        </w:numPr>
        <w:spacing w:after="60"/>
      </w:pPr>
      <w:r>
        <w:rPr>
          <w:rFonts w:ascii="Arial" w:cs="Arial" w:eastAsia="Arial" w:hAnsi="Arial"/>
          <w:sz w:val="21"/>
          <w:szCs w:val="21"/>
        </w:rPr>
        <w:t xml:space="preserve">Composition de l’organe de gouvernance : </w:t>
      </w:r>
      <w:r>
        <w:rPr>
          <w:rFonts w:ascii="Arial" w:cs="Arial" w:eastAsia="Arial" w:hAnsi="Arial"/>
          <w:sz w:val="21"/>
          <w:szCs w:val="21"/>
          <w:highlight w:val="yellow"/>
        </w:rPr>
        <w:t xml:space="preserve">[NOM DU FICHIER JOINT]</w:t>
      </w:r>
    </w:p>
    <w:p>
      <w:pPr>
        <w:pageBreakBefore/>
      </w:pPr>
    </w:p>
    <w:p>
      <w:pPr>
        <w:pStyle w:val="Heading1"/>
        <w:spacing w:after="120" w:before="240"/>
      </w:pPr>
      <w:r>
        <w:rPr>
          <w:rFonts w:ascii="Arial" w:cs="Arial" w:eastAsia="Arial" w:hAnsi="Arial"/>
        </w:rPr>
        <w:t xml:space="preserve">Partie 5 — Pratiques, politiques et initiatives</w:t>
      </w:r>
    </w:p>
    <w:p>
      <w:pPr>
        <w:spacing w:after="140" w:line="276"/>
      </w:pPr>
      <w:r>
        <w:rPr>
          <w:rFonts w:ascii="Arial" w:cs="Arial" w:eastAsia="Arial" w:hAnsi="Arial"/>
          <w:b/>
          <w:bCs/>
          <w:color w:val="1F7A4D"/>
          <w:sz w:val="18"/>
          <w:szCs w:val="18"/>
        </w:rPr>
        <w:t xml:space="preserve">Onglet V6 — Initiatives · Informations B2 et C2</w:t>
      </w:r>
    </w:p>
    <w:p>
      <w:pPr>
        <w:pBdr>
          <w:bottom w:val="single" w:color="1F7A4D" w:sz="14" w:space="1"/>
        </w:pBdr>
        <w:spacing w:after="160"/>
      </w:pPr>
    </w:p>
    <w:p>
      <w:pPr>
        <w:spacing w:after="140" w:line="276"/>
      </w:pPr>
      <w:r>
        <w:rPr>
          <w:rFonts w:ascii="Arial" w:cs="Arial" w:eastAsia="Arial" w:hAnsi="Arial"/>
          <w:sz w:val="21"/>
          <w:szCs w:val="21"/>
        </w:rPr>
        <w:t xml:space="preserve">L’information B2 recense, pour chaque grand enjeu ESG, l’existence de pratiques, politiques ou initiatives futures de l’entreprise (réponse Oui/Non, caractère public et objectifs associés). Le module Comprehensive (C2) en précise le contenu. Ce tableau prend la forme d’une check-list, sans incorporation des documents.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526"/>
        <w:gridCol w:w="2500"/>
      </w:tblGrid>
      <w:tr>
        <w:trPr>
          <w:tblHeader/>
        </w:trPr>
        <w:tc>
          <w:tcPr>
            <w:tcW w:type="dxa" w:w="6526"/>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Élément acté par le client</w:t>
            </w:r>
          </w:p>
        </w:tc>
        <w:tc>
          <w:tcPr>
            <w:tcW w:type="dxa" w:w="2500"/>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Statut déclaré</w:t>
            </w:r>
          </w:p>
        </w:tc>
      </w:tr>
      <w:tr>
        <w:tc>
          <w:tcPr>
            <w:tcW w:type="dxa" w:w="65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Climat / réduction des émissions</w:t>
            </w:r>
          </w:p>
        </w:tc>
        <w:tc>
          <w:tcPr>
            <w:tcW w:type="dxa" w:w="2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[Acté / Non acté]</w:t>
            </w:r>
          </w:p>
        </w:tc>
      </w:tr>
      <w:tr>
        <w:tc>
          <w:tcPr>
            <w:tcW w:type="dxa" w:w="65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Pollution</w:t>
            </w:r>
          </w:p>
        </w:tc>
        <w:tc>
          <w:tcPr>
            <w:tcW w:type="dxa" w:w="2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[Acté / Non acté]</w:t>
            </w:r>
          </w:p>
        </w:tc>
      </w:tr>
      <w:tr>
        <w:tc>
          <w:tcPr>
            <w:tcW w:type="dxa" w:w="65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Eau et ressources marines</w:t>
            </w:r>
          </w:p>
        </w:tc>
        <w:tc>
          <w:tcPr>
            <w:tcW w:type="dxa" w:w="2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[Acté / Non acté]</w:t>
            </w:r>
          </w:p>
        </w:tc>
      </w:tr>
      <w:tr>
        <w:tc>
          <w:tcPr>
            <w:tcW w:type="dxa" w:w="65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Biodiversité et écosystèmes</w:t>
            </w:r>
          </w:p>
        </w:tc>
        <w:tc>
          <w:tcPr>
            <w:tcW w:type="dxa" w:w="2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[Acté / Non acté]</w:t>
            </w:r>
          </w:p>
        </w:tc>
      </w:tr>
      <w:tr>
        <w:tc>
          <w:tcPr>
            <w:tcW w:type="dxa" w:w="65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Économie circulaire et déchets</w:t>
            </w:r>
          </w:p>
        </w:tc>
        <w:tc>
          <w:tcPr>
            <w:tcW w:type="dxa" w:w="2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[Acté / Non acté]</w:t>
            </w:r>
          </w:p>
        </w:tc>
      </w:tr>
      <w:tr>
        <w:tc>
          <w:tcPr>
            <w:tcW w:type="dxa" w:w="65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Effectifs de l’entreprise</w:t>
            </w:r>
          </w:p>
        </w:tc>
        <w:tc>
          <w:tcPr>
            <w:tcW w:type="dxa" w:w="2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[Acté / Non acté]</w:t>
            </w:r>
          </w:p>
        </w:tc>
      </w:tr>
      <w:tr>
        <w:tc>
          <w:tcPr>
            <w:tcW w:type="dxa" w:w="65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Travailleurs de la chaîne de valeur</w:t>
            </w:r>
          </w:p>
        </w:tc>
        <w:tc>
          <w:tcPr>
            <w:tcW w:type="dxa" w:w="2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[Acté / Non acté]</w:t>
            </w:r>
          </w:p>
        </w:tc>
      </w:tr>
      <w:tr>
        <w:tc>
          <w:tcPr>
            <w:tcW w:type="dxa" w:w="65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Communautés affectées</w:t>
            </w:r>
          </w:p>
        </w:tc>
        <w:tc>
          <w:tcPr>
            <w:tcW w:type="dxa" w:w="2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[Acté / Non acté]</w:t>
            </w:r>
          </w:p>
        </w:tc>
      </w:tr>
      <w:tr>
        <w:tc>
          <w:tcPr>
            <w:tcW w:type="dxa" w:w="65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Consommateurs et utilisateurs finaux</w:t>
            </w:r>
          </w:p>
        </w:tc>
        <w:tc>
          <w:tcPr>
            <w:tcW w:type="dxa" w:w="2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[Acté / Non acté]</w:t>
            </w:r>
          </w:p>
        </w:tc>
      </w:tr>
      <w:tr>
        <w:tc>
          <w:tcPr>
            <w:tcW w:type="dxa" w:w="65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Conduite des affaires (éthique, anticorruption)</w:t>
            </w:r>
          </w:p>
        </w:tc>
        <w:tc>
          <w:tcPr>
            <w:tcW w:type="dxa" w:w="25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[Acté / Non acté]</w:t>
            </w:r>
          </w:p>
        </w:tc>
      </w:tr>
    </w:tbl>
    <w:p>
      <w:pPr>
        <w:spacing w:after="140" w:line="276"/>
      </w:pPr>
      <w:r>
        <w:rPr>
          <w:rFonts w:ascii="Arial" w:cs="Arial" w:eastAsia="Arial" w:hAnsi="Arial"/>
          <w:i/>
          <w:iCs/>
          <w:color w:val="888888"/>
          <w:sz w:val="19"/>
          <w:szCs w:val="19"/>
        </w:rPr>
        <w:t xml:space="preserve">Pour chaque enjeu coché, l’onglet V6 précise si une politique est publique et si des objectifs chiffrés sont définis ; ces précisions sont reprises automatiquement (zones surlignées).</w:t>
      </w:r>
    </w:p>
    <w:p>
      <w:pPr>
        <w:pageBreakBefore/>
      </w:pPr>
    </w:p>
    <w:p>
      <w:pPr>
        <w:pStyle w:val="Heading1"/>
        <w:spacing w:after="120" w:before="240"/>
      </w:pPr>
      <w:r>
        <w:rPr>
          <w:rFonts w:ascii="Arial" w:cs="Arial" w:eastAsia="Arial" w:hAnsi="Arial"/>
        </w:rPr>
        <w:t xml:space="preserve">Validation du rapport</w:t>
      </w:r>
    </w:p>
    <w:p>
      <w:pPr>
        <w:spacing w:after="140" w:line="276"/>
      </w:pPr>
      <w:r>
        <w:rPr>
          <w:rFonts w:ascii="Arial" w:cs="Arial" w:eastAsia="Arial" w:hAnsi="Arial"/>
          <w:b/>
          <w:bCs/>
          <w:color w:val="1F7A4D"/>
          <w:sz w:val="18"/>
          <w:szCs w:val="18"/>
        </w:rPr>
        <w:t xml:space="preserve">Onglet V8 — Validation</w:t>
      </w:r>
    </w:p>
    <w:p>
      <w:pPr>
        <w:pBdr>
          <w:bottom w:val="single" w:color="1F7A4D" w:sz="14" w:space="1"/>
        </w:pBdr>
        <w:spacing w:after="160"/>
      </w:pPr>
    </w:p>
    <w:p>
      <w:pPr>
        <w:spacing w:after="140" w:line="276"/>
      </w:pPr>
      <w:r>
        <w:rPr>
          <w:rFonts w:ascii="Arial" w:cs="Arial" w:eastAsia="Arial" w:hAnsi="Arial"/>
          <w:sz w:val="21"/>
          <w:szCs w:val="21"/>
        </w:rPr>
        <w:t xml:space="preserve">Le standard VSME étant volontaire, aucune signature n’est juridiquement requise. Une validation par la direction est néanmoins recommandée : elle renforce la crédibilité du rapport auprès des banques, investisseurs et donneurs d’ordre, et atteste de la base de préparation retenue.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Représentant légal de l’entreprise</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Nom et prénom</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[NOM DU REPRÉSENTANT]</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Fonction</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[FONCTION]</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Base de préparation attestée</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[INDIVIDUELLE / CONSOLIDÉE]</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Date de validation</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[JJ/MM/AAAA]</w:t>
            </w:r>
          </w:p>
        </w:tc>
      </w:tr>
      <w:tr>
        <w:tc>
          <w:tcPr>
            <w:tcW w:type="dxa" w:w="34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Visa / signature</w:t>
            </w:r>
          </w:p>
        </w:tc>
        <w:tc>
          <w:tcPr>
            <w:tcW w:type="dxa" w:w="5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[ESPACE RÉSERVÉ AU VISA]</w:t>
            </w:r>
          </w:p>
        </w:tc>
      </w:tr>
    </w:tbl>
    <w:p>
      <w:pPr>
        <w:pageBreakBefore/>
      </w:pPr>
    </w:p>
    <w:p>
      <w:pPr>
        <w:pStyle w:val="Heading1"/>
        <w:spacing w:after="120" w:before="240"/>
      </w:pPr>
      <w:r>
        <w:rPr>
          <w:rFonts w:ascii="Arial" w:cs="Arial" w:eastAsia="Arial" w:hAnsi="Arial"/>
        </w:rPr>
        <w:t xml:space="preserve">Avertissement et limite de responsabilité</w:t>
      </w:r>
    </w:p>
    <w:p>
      <w:pPr>
        <w:pBdr>
          <w:bottom w:val="single" w:color="1F7A4D" w:sz="14" w:space="1"/>
        </w:pBdr>
        <w:spacing w:after="160"/>
      </w:pPr>
    </w:p>
    <w:p>
      <w:pPr>
        <w:spacing w:after="140" w:line="276"/>
      </w:pPr>
      <w:r>
        <w:rPr>
          <w:rFonts w:ascii="Arial" w:cs="Arial" w:eastAsia="Arial" w:hAnsi="Arial"/>
          <w:sz w:val="21"/>
          <w:szCs w:val="21"/>
        </w:rPr>
        <w:t xml:space="preserve">Le présent rapport a été généré au moyen de la plateforme ADEMOVA (ADEMOVA.COM) à partir des seules informations déclarées par l’entreprise dans les onglets V1 à V8. Il constitue une aide à la production d’un rapport de durabilité selon le référentiel volontaire VSME.</w:t>
      </w:r>
    </w:p>
    <w:p>
      <w:pPr>
        <w:spacing w:after="140" w:line="276"/>
      </w:pPr>
      <w:r>
        <w:rPr>
          <w:rFonts w:ascii="Arial" w:cs="Arial" w:eastAsia="Arial" w:hAnsi="Arial"/>
          <w:sz w:val="21"/>
          <w:szCs w:val="21"/>
        </w:rPr>
        <w:t xml:space="preserve">Le VSME est un standard volontaire : ce rapport ne constitue pas une déclaration de durabilité au sens de la directive CSRD et ne fait l’objet d’aucune assurance par un tiers indépendant, sauf démarche spécifique engagée séparément par l’entreprise.</w:t>
      </w:r>
    </w:p>
    <w:p>
      <w:pPr>
        <w:spacing w:after="140" w:line="276"/>
      </w:pPr>
      <w:r>
        <w:rPr>
          <w:rFonts w:ascii="Arial" w:cs="Arial" w:eastAsia="Arial" w:hAnsi="Arial"/>
          <w:sz w:val="21"/>
          <w:szCs w:val="21"/>
        </w:rPr>
        <w:t xml:space="preserve">L’exactitude, l’exhaustivité et la pertinence des données saisies relèvent de la seule responsabilité de l’entreprise et de son représentant légal. ADEMOVA ne procède à aucune vérification des données ni contrôle sur site. En conséquence, la responsabilité d’ADEMOVA ne saurait être engagée au titre du contenu du présent rapport, des informations qui y figurent, ni des décisions prises sur leur fondement.</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6"/>
      </w:pBdr>
      <w:tabs>
        <w:tab w:val="right" w:pos="9026"/>
      </w:tabs>
    </w:pPr>
    <w:r>
      <w:rPr>
        <w:rFonts w:ascii="Arial" w:cs="Arial" w:eastAsia="Arial" w:hAnsi="Arial"/>
        <w:color w:val="888888"/>
        <w:sz w:val="15"/>
        <w:szCs w:val="15"/>
      </w:rPr>
      <w:t xml:space="preserve">Réalisé sur ADEMOVA.COM</w:t>
    </w:r>
    <w:r>
      <w:rPr>
        <w:rFonts w:ascii="Arial" w:cs="Arial" w:eastAsia="Arial" w:hAnsi="Arial"/>
        <w:color w:val="888888"/>
        <w:sz w:val="15"/>
        <w:szCs w:val="15"/>
      </w:rPr>
      <w:t xml:space="preserve">	Page </w:t>
    </w:r>
    <w:r>
      <w:rPr>
        <w:rFonts w:ascii="Arial" w:cs="Arial" w:eastAsia="Arial" w:hAnsi="Arial"/>
        <w:color w:val="888888"/>
        <w:sz w:val="15"/>
        <w:szCs w:val="15"/>
      </w:rPr>
      <w:fldChar w:fldCharType="begin"/>
      <w:instrText xml:space="preserve">PAGE</w:instrText>
      <w:fldChar w:fldCharType="separate"/>
      <w:fldChar w:fldCharType="end"/>
    </w:r>
    <w:r>
      <w:rPr>
        <w:rFonts w:ascii="Arial" w:cs="Arial" w:eastAsia="Arial" w:hAnsi="Arial"/>
        <w:color w:val="888888"/>
        <w:sz w:val="15"/>
        <w:szCs w:val="15"/>
      </w:rPr>
      <w:t xml:space="preserve"> sur </w:t>
    </w:r>
    <w:r>
      <w:rPr>
        <w:rFonts w:ascii="Arial" w:cs="Arial" w:eastAsia="Arial" w:hAnsi="Arial"/>
        <w:color w:val="88888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1A2A4A"/>
      <w:sz w:val="30"/>
      <w:szCs w:val="30"/>
    </w:rPr>
  </w:style>
  <w:style w:type="paragraph" w:styleId="Heading2">
    <w:name w:val="Heading 2"/>
    <w:basedOn w:val="Normal"/>
    <w:next w:val="Normal"/>
    <w:qFormat/>
    <w:pPr>
      <w:spacing w:after="80" w:before="180"/>
      <w:outlineLvl w:val="1"/>
    </w:pPr>
    <w:rPr>
      <w:rFonts w:ascii="Arial" w:cs="Arial" w:eastAsia="Arial" w:hAnsi="Arial"/>
      <w:b/>
      <w:bCs/>
      <w:color w:val="1F7A4D"/>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2026-06-20T16:32:40.724Z</dcterms:created>
  <dcterms:modified xsi:type="dcterms:W3CDTF">2026-06-20T16:32:40.725Z</dcterms:modified>
</cp:coreProperties>
</file>

<file path=docProps/custom.xml><?xml version="1.0" encoding="utf-8"?>
<Properties xmlns="http://schemas.openxmlformats.org/officeDocument/2006/custom-properties" xmlns:vt="http://schemas.openxmlformats.org/officeDocument/2006/docPropsVTypes"/>
</file>