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400"/>
        <w:jc w:val="center"/>
      </w:pPr>
      <w:r>
        <w:rPr>
          <w:rFonts w:ascii="Arial" w:cs="Arial" w:eastAsia="Arial" w:hAnsi="Arial"/>
          <w:b/>
          <w:bCs/>
          <w:color w:val="2E5BBA"/>
          <w:sz w:val="30"/>
          <w:szCs w:val="30"/>
        </w:rPr>
        <w:t xml:space="preserve">ADEMOVA</w:t>
      </w:r>
    </w:p>
    <w:p>
      <w:pPr>
        <w:spacing w:after="600"/>
        <w:jc w:val="center"/>
      </w:pPr>
      <w:r>
        <w:rPr>
          <w:rFonts w:ascii="Arial" w:cs="Arial" w:eastAsia="Arial" w:hAnsi="Arial"/>
          <w:color w:val="888888"/>
          <w:sz w:val="17"/>
          <w:szCs w:val="17"/>
        </w:rPr>
        <w:t xml:space="preserve">Conformité réglementaire des entreprises</w:t>
      </w:r>
    </w:p>
    <w:p>
      <w:pPr>
        <w:spacing w:after="60" w:before="200"/>
        <w:jc w:val="center"/>
      </w:pPr>
      <w:r>
        <w:rPr>
          <w:rFonts w:ascii="Arial" w:cs="Arial" w:eastAsia="Arial" w:hAnsi="Arial"/>
          <w:b/>
          <w:bCs/>
          <w:color w:val="1A2A4A"/>
          <w:sz w:val="56"/>
          <w:szCs w:val="56"/>
        </w:rPr>
        <w:t xml:space="preserve">RAPPORT DUERP</w:t>
      </w:r>
    </w:p>
    <w:p>
      <w:pPr>
        <w:spacing w:after="120"/>
        <w:jc w:val="center"/>
      </w:pPr>
      <w:r>
        <w:rPr>
          <w:rFonts w:ascii="Arial" w:cs="Arial" w:eastAsia="Arial" w:hAnsi="Arial"/>
          <w:i/>
          <w:iCs/>
          <w:color w:val="2E5BBA"/>
          <w:sz w:val="22"/>
          <w:szCs w:val="22"/>
        </w:rPr>
        <w:t xml:space="preserve">Document Unique d’Évaluation des Risques Professionnels</w:t>
      </w:r>
    </w:p>
    <w:p>
      <w:pPr>
        <w:pBdr>
          <w:bottom w:val="single" w:color="2E5BBA" w:sz="18" w:space="6"/>
        </w:pBdr>
        <w:spacing w:after="500"/>
        <w:jc w:val="center"/>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Société</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[NOM DE LA SOCIÉTÉ]</w:t>
            </w:r>
          </w:p>
        </w:tc>
      </w:tr>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N° SIRET</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 SIRET — 14 chiffres]</w:t>
            </w:r>
          </w:p>
        </w:tc>
      </w:tr>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Adresse de l’établissement</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[ADRESSE COMPLÈTE DE L’ÉTABLISSEMENT CONCERNÉ]</w:t>
            </w:r>
          </w:p>
        </w:tc>
      </w:tr>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Code NAF / APE</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[CODE NAF — ex. 41.20A]</w:t>
            </w:r>
          </w:p>
        </w:tc>
      </w:tr>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Effectif déclaré</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[EFFECTIF]</w:t>
            </w:r>
          </w:p>
        </w:tc>
      </w:tr>
    </w:tbl>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Date d’édition du rapport</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[JJ/MM/AAAA]</w:t>
            </w:r>
          </w:p>
        </w:tc>
      </w:tr>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Historique des mises à jour sur ADEMOVA</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[LISTE DES DATES DE MISE À JOUR PRÉCÉDENTES]</w:t>
            </w:r>
          </w:p>
        </w:tc>
      </w:tr>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Taux de complétude du DUERP</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[XX %]</w:t>
            </w:r>
          </w:p>
        </w:tc>
      </w:tr>
    </w:tbl>
    <w:p>
      <w:pPr>
        <w:pageBreakBefore/>
      </w:pPr>
    </w:p>
    <w:p>
      <w:pPr>
        <w:pStyle w:val="Heading1"/>
        <w:spacing w:after="120" w:before="240"/>
      </w:pPr>
      <w:r>
        <w:rPr>
          <w:rFonts w:ascii="Arial" w:cs="Arial" w:eastAsia="Arial" w:hAnsi="Arial"/>
        </w:rPr>
        <w:t xml:space="preserve">Sommaire</w:t>
      </w:r>
    </w:p>
    <w:p>
      <w:pPr>
        <w:pBdr>
          <w:bottom w:val="single" w:color="2E5BBA" w:sz="14" w:space="1"/>
        </w:pBdr>
        <w:spacing w:after="160"/>
      </w:pPr>
    </w:p>
    <w:p>
      <w:pPr>
        <w:spacing w:after="100"/>
      </w:pPr>
      <w:r>
        <w:rPr>
          <w:rFonts w:ascii="Arial" w:cs="Arial" w:eastAsia="Arial" w:hAnsi="Arial"/>
          <w:b/>
          <w:bCs/>
          <w:color w:val="2E5BBA"/>
          <w:sz w:val="22"/>
          <w:szCs w:val="22"/>
        </w:rPr>
        <w:t xml:space="preserve">1.  </w:t>
      </w:r>
      <w:r>
        <w:rPr>
          <w:rFonts w:ascii="Arial" w:cs="Arial" w:eastAsia="Arial" w:hAnsi="Arial"/>
          <w:sz w:val="22"/>
          <w:szCs w:val="22"/>
        </w:rPr>
        <w:t xml:space="preserve">Préambule — Cadre légal et méthodologie</w:t>
      </w:r>
    </w:p>
    <w:p>
      <w:pPr>
        <w:spacing w:after="100"/>
      </w:pPr>
      <w:r>
        <w:rPr>
          <w:rFonts w:ascii="Arial" w:cs="Arial" w:eastAsia="Arial" w:hAnsi="Arial"/>
          <w:b/>
          <w:bCs/>
          <w:color w:val="2E5BBA"/>
          <w:sz w:val="22"/>
          <w:szCs w:val="22"/>
        </w:rPr>
        <w:t xml:space="preserve">2.  </w:t>
      </w:r>
      <w:r>
        <w:rPr>
          <w:rFonts w:ascii="Arial" w:cs="Arial" w:eastAsia="Arial" w:hAnsi="Arial"/>
          <w:sz w:val="22"/>
          <w:szCs w:val="22"/>
        </w:rPr>
        <w:t xml:space="preserve">Partie 1 — Présentation de l’entreprise (onglet B)</w:t>
      </w:r>
    </w:p>
    <w:p>
      <w:pPr>
        <w:spacing w:after="100"/>
      </w:pPr>
      <w:r>
        <w:rPr>
          <w:rFonts w:ascii="Arial" w:cs="Arial" w:eastAsia="Arial" w:hAnsi="Arial"/>
          <w:b/>
          <w:bCs/>
          <w:color w:val="2E5BBA"/>
          <w:sz w:val="22"/>
          <w:szCs w:val="22"/>
        </w:rPr>
        <w:t xml:space="preserve">3.  </w:t>
      </w:r>
      <w:r>
        <w:rPr>
          <w:rFonts w:ascii="Arial" w:cs="Arial" w:eastAsia="Arial" w:hAnsi="Arial"/>
          <w:sz w:val="22"/>
          <w:szCs w:val="22"/>
        </w:rPr>
        <w:t xml:space="preserve">Partie 2 — Identification et évaluation des risques (onglet C)</w:t>
      </w:r>
    </w:p>
    <w:p>
      <w:pPr>
        <w:spacing w:after="100"/>
      </w:pPr>
      <w:r>
        <w:rPr>
          <w:rFonts w:ascii="Arial" w:cs="Arial" w:eastAsia="Arial" w:hAnsi="Arial"/>
          <w:b/>
          <w:bCs/>
          <w:color w:val="2E5BBA"/>
          <w:sz w:val="22"/>
          <w:szCs w:val="22"/>
        </w:rPr>
        <w:t xml:space="preserve">4.  </w:t>
      </w:r>
      <w:r>
        <w:rPr>
          <w:rFonts w:ascii="Arial" w:cs="Arial" w:eastAsia="Arial" w:hAnsi="Arial"/>
          <w:sz w:val="22"/>
          <w:szCs w:val="22"/>
        </w:rPr>
        <w:t xml:space="preserve">Partie 3 — Produits dangereux et machines (onglet D)</w:t>
      </w:r>
    </w:p>
    <w:p>
      <w:pPr>
        <w:spacing w:after="100"/>
      </w:pPr>
      <w:r>
        <w:rPr>
          <w:rFonts w:ascii="Arial" w:cs="Arial" w:eastAsia="Arial" w:hAnsi="Arial"/>
          <w:b/>
          <w:bCs/>
          <w:color w:val="2E5BBA"/>
          <w:sz w:val="22"/>
          <w:szCs w:val="22"/>
        </w:rPr>
        <w:t xml:space="preserve">5.  </w:t>
      </w:r>
      <w:r>
        <w:rPr>
          <w:rFonts w:ascii="Arial" w:cs="Arial" w:eastAsia="Arial" w:hAnsi="Arial"/>
          <w:sz w:val="22"/>
          <w:szCs w:val="22"/>
        </w:rPr>
        <w:t xml:space="preserve">Partie 4 — Plan d’action / PAPRIPACT (onglet E)</w:t>
      </w:r>
    </w:p>
    <w:p>
      <w:pPr>
        <w:spacing w:after="100"/>
      </w:pPr>
      <w:r>
        <w:rPr>
          <w:rFonts w:ascii="Arial" w:cs="Arial" w:eastAsia="Arial" w:hAnsi="Arial"/>
          <w:b/>
          <w:bCs/>
          <w:color w:val="2E5BBA"/>
          <w:sz w:val="22"/>
          <w:szCs w:val="22"/>
        </w:rPr>
        <w:t xml:space="preserve">6.  </w:t>
      </w:r>
      <w:r>
        <w:rPr>
          <w:rFonts w:ascii="Arial" w:cs="Arial" w:eastAsia="Arial" w:hAnsi="Arial"/>
          <w:sz w:val="22"/>
          <w:szCs w:val="22"/>
        </w:rPr>
        <w:t xml:space="preserve">Avertissement et limite de responsabilité</w:t>
      </w:r>
    </w:p>
    <w:p>
      <w:pPr>
        <w:pageBreakBefore/>
      </w:pPr>
    </w:p>
    <w:p>
      <w:pPr>
        <w:pStyle w:val="Heading1"/>
        <w:spacing w:after="120" w:before="240"/>
      </w:pPr>
      <w:r>
        <w:rPr>
          <w:rFonts w:ascii="Arial" w:cs="Arial" w:eastAsia="Arial" w:hAnsi="Arial"/>
        </w:rPr>
        <w:t xml:space="preserve">Préambule — Cadre légal et méthodologie</w:t>
      </w:r>
    </w:p>
    <w:p>
      <w:pPr>
        <w:pBdr>
          <w:bottom w:val="single" w:color="2E5BBA" w:sz="14" w:space="1"/>
        </w:pBdr>
        <w:spacing w:after="160"/>
      </w:pPr>
    </w:p>
    <w:p>
      <w:pPr>
        <w:spacing w:after="140" w:line="276"/>
      </w:pPr>
      <w:r>
        <w:rPr>
          <w:rFonts w:ascii="Arial" w:cs="Arial" w:eastAsia="Arial" w:hAnsi="Arial"/>
          <w:sz w:val="21"/>
          <w:szCs w:val="21"/>
        </w:rPr>
        <w:t xml:space="preserve">Le Document Unique d’Évaluation des Risques Professionnels (DUERP) est une obligation légale qui s’impose à tout employeur dès l’embauche du premier salarié, conformément aux articles L.4121-1 et suivants et R.4121-1 et suivants du Code du travail. Il recense, pour chaque unité de travail, l’ensemble des risques auxquels les salariés sont exposés et formalise les mesures de prévention associées.</w:t>
      </w:r>
    </w:p>
    <w:p>
      <w:pPr>
        <w:spacing w:after="140" w:line="276"/>
      </w:pPr>
      <w:r>
        <w:rPr>
          <w:rFonts w:ascii="Arial" w:cs="Arial" w:eastAsia="Arial" w:hAnsi="Arial"/>
          <w:sz w:val="21"/>
          <w:szCs w:val="21"/>
        </w:rPr>
        <w:t xml:space="preserve">Le DUERP doit être mis à jour au minimum une fois par an, ainsi qu’à chaque modification importante des conditions de travail ou lors de l’apparition d’un nouveau risque. Depuis la loi du 2 août 2021, ses versions successives doivent être conservées pendant au moins 40 ans et tenues à la disposition des salariés, du CSE, du service de prévention et de santé au travail et de l’inspection du travail.</w:t>
      </w:r>
    </w:p>
    <w:p>
      <w:pPr>
        <w:pStyle w:val="Heading2"/>
        <w:spacing w:after="80" w:before="180"/>
      </w:pPr>
      <w:r>
        <w:rPr>
          <w:rFonts w:ascii="Arial" w:cs="Arial" w:eastAsia="Arial" w:hAnsi="Arial"/>
        </w:rPr>
        <w:t xml:space="preserve">Méthodologie d’évaluation appliquée sur ADEMOVA</w:t>
      </w:r>
    </w:p>
    <w:p>
      <w:pPr>
        <w:spacing w:after="140" w:line="276"/>
      </w:pPr>
      <w:r>
        <w:rPr>
          <w:rFonts w:ascii="Arial" w:cs="Arial" w:eastAsia="Arial" w:hAnsi="Arial"/>
          <w:sz w:val="21"/>
          <w:szCs w:val="21"/>
        </w:rPr>
        <w:t xml:space="preserve">Le présent rapport est généré automatiquement à partir des informations saisies par l’entreprise sur la plateforme ADEMOVA. La démarche suit quatre étapes :</w:t>
      </w:r>
    </w:p>
    <w:p>
      <w:pPr>
        <w:pStyle w:val="ListParagraph"/>
        <w:numPr>
          <w:ilvl w:val="0"/>
          <w:numId w:val="2"/>
        </w:numPr>
        <w:spacing w:after="60"/>
      </w:pPr>
      <w:r>
        <w:rPr>
          <w:rFonts w:ascii="Arial" w:cs="Arial" w:eastAsia="Arial" w:hAnsi="Arial"/>
          <w:sz w:val="21"/>
          <w:szCs w:val="21"/>
        </w:rPr>
        <w:t xml:space="preserve">Identification de l’établissement et pré-remplissage sectoriel des risques à partir du code NAF/APE rattaché au SIRET ;</w:t>
      </w:r>
    </w:p>
    <w:p>
      <w:pPr>
        <w:pStyle w:val="ListParagraph"/>
        <w:numPr>
          <w:ilvl w:val="0"/>
          <w:numId w:val="2"/>
        </w:numPr>
        <w:spacing w:after="60"/>
      </w:pPr>
      <w:r>
        <w:rPr>
          <w:rFonts w:ascii="Arial" w:cs="Arial" w:eastAsia="Arial" w:hAnsi="Arial"/>
          <w:sz w:val="21"/>
          <w:szCs w:val="21"/>
        </w:rPr>
        <w:t xml:space="preserve">Découpage de l’activité en unités de travail homogènes ;</w:t>
      </w:r>
    </w:p>
    <w:p>
      <w:pPr>
        <w:pStyle w:val="ListParagraph"/>
        <w:numPr>
          <w:ilvl w:val="0"/>
          <w:numId w:val="2"/>
        </w:numPr>
        <w:spacing w:after="60"/>
      </w:pPr>
      <w:r>
        <w:rPr>
          <w:rFonts w:ascii="Arial" w:cs="Arial" w:eastAsia="Arial" w:hAnsi="Arial"/>
          <w:sz w:val="21"/>
          <w:szCs w:val="21"/>
        </w:rPr>
        <w:t xml:space="preserve">Cotation de chaque risque selon sa gravité et sa fréquence d’exposition, afin d’en déterminer le niveau de priorité ;</w:t>
      </w:r>
    </w:p>
    <w:p>
      <w:pPr>
        <w:pStyle w:val="ListParagraph"/>
        <w:numPr>
          <w:ilvl w:val="0"/>
          <w:numId w:val="2"/>
        </w:numPr>
        <w:spacing w:after="60"/>
      </w:pPr>
      <w:r>
        <w:rPr>
          <w:rFonts w:ascii="Arial" w:cs="Arial" w:eastAsia="Arial" w:hAnsi="Arial"/>
          <w:sz w:val="21"/>
          <w:szCs w:val="21"/>
        </w:rPr>
        <w:t xml:space="preserve">Définition d’un plan d’action de prévention (PAPRIPACT) hiérarchisé.</w:t>
      </w:r>
    </w:p>
    <w:p>
      <w:pPr>
        <w:spacing w:after="140" w:line="276"/>
      </w:pPr>
      <w:r>
        <w:rPr>
          <w:rFonts w:ascii="Arial" w:cs="Arial" w:eastAsia="Arial" w:hAnsi="Arial"/>
          <w:i/>
          <w:iCs/>
          <w:color w:val="888888"/>
          <w:sz w:val="20"/>
          <w:szCs w:val="20"/>
        </w:rPr>
        <w:t xml:space="preserve">Les zones surlignées en jaune dans ce document correspondent aux données qui seront renseignées automatiquement à partir des réponses saisies par l’entreprise dans les différents onglets de la plateforme.</w:t>
      </w:r>
    </w:p>
    <w:p>
      <w:pPr>
        <w:pStyle w:val="Heading2"/>
        <w:spacing w:after="80" w:before="180"/>
      </w:pPr>
      <w:r>
        <w:rPr>
          <w:rFonts w:ascii="Arial" w:cs="Arial" w:eastAsia="Arial" w:hAnsi="Arial"/>
        </w:rPr>
        <w:t xml:space="preserve">Mise à disposition et accès au document</w:t>
      </w:r>
    </w:p>
    <w:p>
      <w:pPr>
        <w:spacing w:after="140" w:line="276"/>
      </w:pPr>
      <w:r>
        <w:rPr>
          <w:rFonts w:ascii="Arial" w:cs="Arial" w:eastAsia="Arial" w:hAnsi="Arial"/>
          <w:sz w:val="21"/>
          <w:szCs w:val="21"/>
        </w:rPr>
        <w:t xml:space="preserve">Conformément au Code du travail, le DUERP et ses versions successives sont tenus à la disposition des personnes et organismes suivants, et les modalités d’accès sont affichées dans un lieu accessible de l’établissement :</w:t>
      </w:r>
    </w:p>
    <w:p>
      <w:pPr>
        <w:pStyle w:val="ListParagraph"/>
        <w:numPr>
          <w:ilvl w:val="0"/>
          <w:numId w:val="2"/>
        </w:numPr>
        <w:spacing w:after="60"/>
      </w:pPr>
      <w:r>
        <w:rPr>
          <w:rFonts w:ascii="Arial" w:cs="Arial" w:eastAsia="Arial" w:hAnsi="Arial"/>
          <w:sz w:val="21"/>
          <w:szCs w:val="21"/>
        </w:rPr>
        <w:t xml:space="preserve">les travailleurs et anciens travailleurs exposés, pour les versions les concernant ;</w:t>
      </w:r>
    </w:p>
    <w:p>
      <w:pPr>
        <w:pStyle w:val="ListParagraph"/>
        <w:numPr>
          <w:ilvl w:val="0"/>
          <w:numId w:val="2"/>
        </w:numPr>
        <w:spacing w:after="60"/>
      </w:pPr>
      <w:r>
        <w:rPr>
          <w:rFonts w:ascii="Arial" w:cs="Arial" w:eastAsia="Arial" w:hAnsi="Arial"/>
          <w:sz w:val="21"/>
          <w:szCs w:val="21"/>
        </w:rPr>
        <w:t xml:space="preserve">les membres du Comité Social et Économique (CSE) ou de la CSSCT ;</w:t>
      </w:r>
    </w:p>
    <w:p>
      <w:pPr>
        <w:pStyle w:val="ListParagraph"/>
        <w:numPr>
          <w:ilvl w:val="0"/>
          <w:numId w:val="2"/>
        </w:numPr>
        <w:spacing w:after="60"/>
      </w:pPr>
      <w:r>
        <w:rPr>
          <w:rFonts w:ascii="Arial" w:cs="Arial" w:eastAsia="Arial" w:hAnsi="Arial"/>
          <w:sz w:val="21"/>
          <w:szCs w:val="21"/>
        </w:rPr>
        <w:t xml:space="preserve">le service de prévention et de santé au travail (SPST) et le médecin du travail ;</w:t>
      </w:r>
    </w:p>
    <w:p>
      <w:pPr>
        <w:pStyle w:val="ListParagraph"/>
        <w:numPr>
          <w:ilvl w:val="0"/>
          <w:numId w:val="2"/>
        </w:numPr>
        <w:spacing w:after="60"/>
      </w:pPr>
      <w:r>
        <w:rPr>
          <w:rFonts w:ascii="Arial" w:cs="Arial" w:eastAsia="Arial" w:hAnsi="Arial"/>
          <w:sz w:val="21"/>
          <w:szCs w:val="21"/>
        </w:rPr>
        <w:t xml:space="preserve">l’inspection du travail et les agents des services de prévention des organismes de Sécurité sociale (CARSAT).</w:t>
      </w:r>
    </w:p>
    <w:p>
      <w:pPr>
        <w:spacing w:after="140" w:line="276"/>
      </w:pPr>
      <w:r>
        <w:rPr>
          <w:rFonts w:ascii="Arial" w:cs="Arial" w:eastAsia="Arial" w:hAnsi="Arial"/>
          <w:i/>
          <w:iCs/>
          <w:color w:val="888888"/>
          <w:sz w:val="20"/>
          <w:szCs w:val="20"/>
        </w:rPr>
        <w:t xml:space="preserve">À noter : dans l’attente de la mise en service du portail numérique national de dépôt prévu par la loi du 2 août 2021 — non encore opérationnel à ce jour —, l’entreprise conserve ses versions successives en interne (format papier ou numérique) pendant une durée minimale de 40 ans.</w:t>
      </w:r>
    </w:p>
    <w:p>
      <w:pPr>
        <w:pageBreakBefore/>
      </w:pPr>
    </w:p>
    <w:p>
      <w:pPr>
        <w:pStyle w:val="Heading1"/>
        <w:spacing w:after="120" w:before="240"/>
      </w:pPr>
      <w:r>
        <w:rPr>
          <w:rFonts w:ascii="Arial" w:cs="Arial" w:eastAsia="Arial" w:hAnsi="Arial"/>
        </w:rPr>
        <w:t xml:space="preserve">Partie 1 — Présentation de l’entreprise</w:t>
      </w:r>
    </w:p>
    <w:p>
      <w:pPr>
        <w:spacing w:after="140" w:line="276"/>
      </w:pPr>
      <w:r>
        <w:rPr>
          <w:rFonts w:ascii="Arial" w:cs="Arial" w:eastAsia="Arial" w:hAnsi="Arial"/>
          <w:b/>
          <w:bCs/>
          <w:color w:val="2E5BBA"/>
          <w:sz w:val="18"/>
          <w:szCs w:val="18"/>
        </w:rPr>
        <w:t xml:space="preserve">Onglet B — Bloc commun / Données de l’entreprise</w:t>
      </w:r>
    </w:p>
    <w:p>
      <w:pPr>
        <w:pBdr>
          <w:bottom w:val="single" w:color="2E5BBA" w:sz="14" w:space="1"/>
        </w:pBdr>
        <w:spacing w:after="160"/>
      </w:pPr>
    </w:p>
    <w:p>
      <w:pPr>
        <w:spacing w:after="140" w:line="276"/>
      </w:pPr>
      <w:r>
        <w:rPr>
          <w:rFonts w:ascii="Arial" w:cs="Arial" w:eastAsia="Arial" w:hAnsi="Arial"/>
          <w:sz w:val="21"/>
          <w:szCs w:val="21"/>
        </w:rPr>
        <w:t xml:space="preserve">Cette première partie présente l’identité de l’entreprise et de l’établissement pour lequel le DUERP est établi. Le DUERP étant rattaché à un établissement précis, ces données sont issues du SIRET déclaré et des informations administratives renseignées dans l’onglet B de la plateforme.</w:t>
      </w:r>
    </w:p>
    <w:p>
      <w:pPr>
        <w:pStyle w:val="Heading2"/>
        <w:spacing w:after="80" w:before="180"/>
      </w:pPr>
      <w:r>
        <w:rPr>
          <w:rFonts w:ascii="Arial" w:cs="Arial" w:eastAsia="Arial" w:hAnsi="Arial"/>
        </w:rPr>
        <w:t xml:space="preserve">Identité de l’établissement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Raison sociale</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[NOM DE LA SOCIÉTÉ]</w:t>
            </w:r>
          </w:p>
        </w:tc>
      </w:tr>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Forme juridique</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[FORME JURIDIQUE]</w:t>
            </w:r>
          </w:p>
        </w:tc>
      </w:tr>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N° SIRET</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 SIRET]</w:t>
            </w:r>
          </w:p>
        </w:tc>
      </w:tr>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Code NAF / APE</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[CODE NAF — LIBELLÉ ACTIVITÉ]</w:t>
            </w:r>
          </w:p>
        </w:tc>
      </w:tr>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Adresse de l’établissement</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[ADRESSE COMPLÈTE]</w:t>
            </w:r>
          </w:p>
        </w:tc>
      </w:tr>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Effectif de l’établissement</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[EFFECTIF]</w:t>
            </w:r>
          </w:p>
        </w:tc>
      </w:tr>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Représentant légal</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[NOM DU REPRÉSENTANT]</w:t>
            </w:r>
          </w:p>
        </w:tc>
      </w:tr>
    </w:tbl>
    <w:p>
      <w:pPr>
        <w:pStyle w:val="Heading2"/>
        <w:spacing w:after="80" w:before="180"/>
      </w:pPr>
      <w:r>
        <w:rPr>
          <w:rFonts w:ascii="Arial" w:cs="Arial" w:eastAsia="Arial" w:hAnsi="Arial"/>
        </w:rPr>
        <w:t xml:space="preserve">Unités de travail identifiées</w:t>
      </w:r>
    </w:p>
    <w:p>
      <w:pPr>
        <w:spacing w:after="140" w:line="276"/>
      </w:pPr>
      <w:r>
        <w:rPr>
          <w:rFonts w:ascii="Arial" w:cs="Arial" w:eastAsia="Arial" w:hAnsi="Arial"/>
          <w:sz w:val="21"/>
          <w:szCs w:val="21"/>
        </w:rPr>
        <w:t xml:space="preserve">Le découpage en unités de travail constitue le socle de l’évaluation des risques. Chaque unité regroupe des salariés exposés à des conditions de travail comparables.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0"/>
        <w:gridCol w:w="4063"/>
        <w:gridCol w:w="4063"/>
      </w:tblGrid>
      <w:tr>
        <w:trPr>
          <w:tblHeader/>
        </w:trPr>
        <w:tc>
          <w:tcPr>
            <w:tcW w:type="dxa" w:w="9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N°</w:t>
            </w:r>
          </w:p>
        </w:tc>
        <w:tc>
          <w:tcPr>
            <w:tcW w:type="dxa" w:w="4063"/>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Unité de travail</w:t>
            </w:r>
          </w:p>
        </w:tc>
        <w:tc>
          <w:tcPr>
            <w:tcW w:type="dxa" w:w="4063"/>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Effectif concerné</w:t>
            </w:r>
          </w:p>
        </w:tc>
      </w:tr>
      <w:tr>
        <w:tc>
          <w:tcPr>
            <w:tcW w:type="dxa" w:w="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9"/>
                <w:szCs w:val="19"/>
              </w:rPr>
              <w:t xml:space="preserve">1</w:t>
            </w:r>
          </w:p>
        </w:tc>
        <w:tc>
          <w:tcPr>
            <w:tcW w:type="dxa" w:w="4063"/>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[UNITÉ DE TRAVAIL 1]</w:t>
            </w:r>
          </w:p>
        </w:tc>
        <w:tc>
          <w:tcPr>
            <w:tcW w:type="dxa" w:w="4063"/>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9"/>
                <w:szCs w:val="19"/>
                <w:highlight w:val="yellow"/>
              </w:rPr>
              <w:t xml:space="preserve">[EFFECTIF]</w:t>
            </w:r>
          </w:p>
        </w:tc>
      </w:tr>
      <w:tr>
        <w:tc>
          <w:tcPr>
            <w:tcW w:type="dxa" w:w="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9"/>
                <w:szCs w:val="19"/>
              </w:rPr>
              <w:t xml:space="preserve">2</w:t>
            </w:r>
          </w:p>
        </w:tc>
        <w:tc>
          <w:tcPr>
            <w:tcW w:type="dxa" w:w="4063"/>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[UNITÉ DE TRAVAIL 2]</w:t>
            </w:r>
          </w:p>
        </w:tc>
        <w:tc>
          <w:tcPr>
            <w:tcW w:type="dxa" w:w="4063"/>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9"/>
                <w:szCs w:val="19"/>
                <w:highlight w:val="yellow"/>
              </w:rPr>
              <w:t xml:space="preserve">[EFFECTIF]</w:t>
            </w:r>
          </w:p>
        </w:tc>
      </w:tr>
      <w:tr>
        <w:tc>
          <w:tcPr>
            <w:tcW w:type="dxa" w:w="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9"/>
                <w:szCs w:val="19"/>
              </w:rPr>
              <w:t xml:space="preserve">3</w:t>
            </w:r>
          </w:p>
        </w:tc>
        <w:tc>
          <w:tcPr>
            <w:tcW w:type="dxa" w:w="4063"/>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[UNITÉ DE TRAVAIL 3]</w:t>
            </w:r>
          </w:p>
        </w:tc>
        <w:tc>
          <w:tcPr>
            <w:tcW w:type="dxa" w:w="4063"/>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9"/>
                <w:szCs w:val="19"/>
                <w:highlight w:val="yellow"/>
              </w:rPr>
              <w:t xml:space="preserve">[EFFECTIF]</w:t>
            </w:r>
          </w:p>
        </w:tc>
      </w:tr>
    </w:tbl>
    <w:p>
      <w:pPr>
        <w:pStyle w:val="Heading2"/>
        <w:spacing w:after="80" w:before="180"/>
      </w:pPr>
      <w:r>
        <w:rPr>
          <w:rFonts w:ascii="Arial" w:cs="Arial" w:eastAsia="Arial" w:hAnsi="Arial"/>
        </w:rPr>
        <w:t xml:space="preserve">Pièces jointes — Partie 1</w:t>
      </w:r>
    </w:p>
    <w:p>
      <w:pPr>
        <w:spacing w:after="140" w:line="276"/>
      </w:pPr>
      <w:r>
        <w:rPr>
          <w:rFonts w:ascii="Arial" w:cs="Arial" w:eastAsia="Arial" w:hAnsi="Arial"/>
          <w:sz w:val="21"/>
          <w:szCs w:val="21"/>
        </w:rPr>
        <w:t xml:space="preserve">Les documents administratifs téléversés dans l’onglet B sont annexés au présent rapport et listés ci-dessous :</w:t>
      </w:r>
    </w:p>
    <w:p>
      <w:pPr>
        <w:pStyle w:val="ListParagraph"/>
        <w:numPr>
          <w:ilvl w:val="0"/>
          <w:numId w:val="2"/>
        </w:numPr>
        <w:spacing w:after="60"/>
      </w:pPr>
      <w:r>
        <w:rPr>
          <w:rFonts w:ascii="Arial" w:cs="Arial" w:eastAsia="Arial" w:hAnsi="Arial"/>
          <w:sz w:val="21"/>
          <w:szCs w:val="21"/>
        </w:rPr>
        <w:t xml:space="preserve">Extrait Kbis / avis de situation SIRENE : </w:t>
      </w:r>
      <w:r>
        <w:rPr>
          <w:rFonts w:ascii="Arial" w:cs="Arial" w:eastAsia="Arial" w:hAnsi="Arial"/>
          <w:sz w:val="21"/>
          <w:szCs w:val="21"/>
          <w:highlight w:val="yellow"/>
        </w:rPr>
        <w:t xml:space="preserve">[NOM DU FICHIER JOINT]</w:t>
      </w:r>
    </w:p>
    <w:p>
      <w:pPr>
        <w:pStyle w:val="ListParagraph"/>
        <w:numPr>
          <w:ilvl w:val="0"/>
          <w:numId w:val="2"/>
        </w:numPr>
        <w:spacing w:after="60"/>
      </w:pPr>
      <w:r>
        <w:rPr>
          <w:rFonts w:ascii="Arial" w:cs="Arial" w:eastAsia="Arial" w:hAnsi="Arial"/>
          <w:sz w:val="21"/>
          <w:szCs w:val="21"/>
        </w:rPr>
        <w:t xml:space="preserve">Autre pièce administrative : </w:t>
      </w:r>
      <w:r>
        <w:rPr>
          <w:rFonts w:ascii="Arial" w:cs="Arial" w:eastAsia="Arial" w:hAnsi="Arial"/>
          <w:sz w:val="21"/>
          <w:szCs w:val="21"/>
          <w:highlight w:val="yellow"/>
        </w:rPr>
        <w:t xml:space="preserve">[NOM DU FICHIER JOINT]</w:t>
      </w:r>
    </w:p>
    <w:p>
      <w:pPr>
        <w:pageBreakBefore/>
      </w:pPr>
    </w:p>
    <w:p>
      <w:pPr>
        <w:pStyle w:val="Heading1"/>
        <w:spacing w:after="120" w:before="240"/>
      </w:pPr>
      <w:r>
        <w:rPr>
          <w:rFonts w:ascii="Arial" w:cs="Arial" w:eastAsia="Arial" w:hAnsi="Arial"/>
        </w:rPr>
        <w:t xml:space="preserve">Partie 2 — Identification et évaluation des risques</w:t>
      </w:r>
    </w:p>
    <w:p>
      <w:pPr>
        <w:spacing w:after="140" w:line="276"/>
      </w:pPr>
      <w:r>
        <w:rPr>
          <w:rFonts w:ascii="Arial" w:cs="Arial" w:eastAsia="Arial" w:hAnsi="Arial"/>
          <w:b/>
          <w:bCs/>
          <w:color w:val="2E5BBA"/>
          <w:sz w:val="18"/>
          <w:szCs w:val="18"/>
        </w:rPr>
        <w:t xml:space="preserve">Onglet C — DUERP Risques / Unités de travail</w:t>
      </w:r>
    </w:p>
    <w:p>
      <w:pPr>
        <w:pBdr>
          <w:bottom w:val="single" w:color="2E5BBA" w:sz="14" w:space="1"/>
        </w:pBdr>
        <w:spacing w:after="160"/>
      </w:pPr>
    </w:p>
    <w:p>
      <w:pPr>
        <w:spacing w:after="140" w:line="276"/>
      </w:pPr>
      <w:r>
        <w:rPr>
          <w:rFonts w:ascii="Arial" w:cs="Arial" w:eastAsia="Arial" w:hAnsi="Arial"/>
          <w:sz w:val="21"/>
          <w:szCs w:val="21"/>
        </w:rPr>
        <w:t xml:space="preserve">Cette partie constitue le cœur du DUERP. Pour chaque unité de travail, les risques professionnels sont identifiés puis cotés selon deux critères : la gravité des dommages potentiels et la fréquence d’exposition. Le croisement de ces deux critères détermine un niveau de risque (faible, moyen, élevé) qui oriente les priorités du plan d’action.</w:t>
      </w:r>
    </w:p>
    <w:p>
      <w:pPr>
        <w:spacing w:after="140" w:line="276"/>
      </w:pPr>
      <w:r>
        <w:rPr>
          <w:rFonts w:ascii="Arial" w:cs="Arial" w:eastAsia="Arial" w:hAnsi="Arial"/>
          <w:sz w:val="21"/>
          <w:szCs w:val="21"/>
        </w:rPr>
        <w:t xml:space="preserve">Les familles de risques évaluées incluent notamment les risques liés aux chutes, aux manutentions, aux équipements de travail, aux produits chimiques, au bruit, aux risques psychosociaux et aux circulations. Le tableau ci-dessous est renseigné automatiquement à partir des réponses saisies dans l’onglet C.</w:t>
      </w:r>
    </w:p>
    <w:p>
      <w:pPr>
        <w:pStyle w:val="Heading2"/>
        <w:spacing w:after="80" w:before="180"/>
      </w:pPr>
      <w:r>
        <w:rPr>
          <w:rFonts w:ascii="Arial" w:cs="Arial" w:eastAsia="Arial" w:hAnsi="Arial"/>
        </w:rPr>
        <w:t xml:space="preserve">Échelle de cotation appliquée</w:t>
      </w:r>
    </w:p>
    <w:p>
      <w:pPr>
        <w:spacing w:after="140" w:line="276"/>
      </w:pPr>
      <w:r>
        <w:rPr>
          <w:rFonts w:ascii="Arial" w:cs="Arial" w:eastAsia="Arial" w:hAnsi="Arial"/>
          <w:sz w:val="21"/>
          <w:szCs w:val="21"/>
        </w:rPr>
        <w:t xml:space="preserve">Le Code du travail n’impose aucune grille de cotation. ADEMOVA applique l’échelle suivante, usuelle en prévention des risques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9"/>
        <w:gridCol w:w="3009"/>
      </w:tblGrid>
      <w:tr>
        <w:trPr>
          <w:tblHeader/>
        </w:trPr>
        <w:tc>
          <w:tcPr>
            <w:tcW w:type="dxa" w:w="3008"/>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Gravité (G)</w:t>
            </w:r>
          </w:p>
        </w:tc>
        <w:tc>
          <w:tcPr>
            <w:tcW w:type="dxa" w:w="3009"/>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Fréquence d’exposition (F)</w:t>
            </w:r>
          </w:p>
        </w:tc>
        <w:tc>
          <w:tcPr>
            <w:tcW w:type="dxa" w:w="3009"/>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Niveau de risque = G × F</w:t>
            </w:r>
          </w:p>
        </w:tc>
      </w:tr>
      <w:tr>
        <w:tc>
          <w:tcPr>
            <w:tcW w:type="dxa" w:w="3008"/>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rPr>
              <w:t xml:space="preserve">1 — Bénigne (sans arrêt)</w:t>
            </w:r>
          </w:p>
        </w:tc>
        <w:tc>
          <w:tcPr>
            <w:tcW w:type="dxa" w:w="3009"/>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rPr>
              <w:t xml:space="preserve">1 — Rare</w:t>
            </w:r>
          </w:p>
        </w:tc>
        <w:tc>
          <w:tcPr>
            <w:tcW w:type="dxa" w:w="3009"/>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rPr>
              <w:t xml:space="preserve">Faible : 1 à 3</w:t>
            </w:r>
          </w:p>
        </w:tc>
      </w:tr>
      <w:tr>
        <w:tc>
          <w:tcPr>
            <w:tcW w:type="dxa" w:w="3008"/>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rPr>
              <w:t xml:space="preserve">2 — Moyenne (AT avec arrêt)</w:t>
            </w:r>
          </w:p>
        </w:tc>
        <w:tc>
          <w:tcPr>
            <w:tcW w:type="dxa" w:w="3009"/>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rPr>
              <w:t xml:space="preserve">2 — Occasionnelle</w:t>
            </w:r>
          </w:p>
        </w:tc>
        <w:tc>
          <w:tcPr>
            <w:tcW w:type="dxa" w:w="3009"/>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rPr>
              <w:t xml:space="preserve">Moyen : 4 à 8</w:t>
            </w:r>
          </w:p>
        </w:tc>
      </w:tr>
      <w:tr>
        <w:tc>
          <w:tcPr>
            <w:tcW w:type="dxa" w:w="3008"/>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rPr>
              <w:t xml:space="preserve">3 — Grave (incapacité permanente)</w:t>
            </w:r>
          </w:p>
        </w:tc>
        <w:tc>
          <w:tcPr>
            <w:tcW w:type="dxa" w:w="3009"/>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rPr>
              <w:t xml:space="preserve">3 — Fréquente</w:t>
            </w:r>
          </w:p>
        </w:tc>
        <w:tc>
          <w:tcPr>
            <w:tcW w:type="dxa" w:w="3009"/>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rPr>
              <w:t xml:space="preserve">Élevé : 9 à 16</w:t>
            </w:r>
          </w:p>
        </w:tc>
      </w:tr>
      <w:tr>
        <w:tc>
          <w:tcPr>
            <w:tcW w:type="dxa" w:w="3008"/>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rPr>
              <w:t xml:space="preserve">4 — Très grave (irréversible / décès)</w:t>
            </w:r>
          </w:p>
        </w:tc>
        <w:tc>
          <w:tcPr>
            <w:tcW w:type="dxa" w:w="3009"/>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rPr>
              <w:t xml:space="preserve">4 — Permanente</w:t>
            </w:r>
          </w:p>
        </w:tc>
        <w:tc>
          <w:tcPr>
            <w:tcW w:type="dxa" w:w="3009"/>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i/>
                <w:iCs/>
                <w:color w:val="888888"/>
                <w:sz w:val="16"/>
                <w:szCs w:val="16"/>
              </w:rPr>
              <w:t xml:space="preserve">Le niveau oriente la priorité du plan d’action</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2300"/>
        <w:gridCol w:w="900"/>
        <w:gridCol w:w="900"/>
        <w:gridCol w:w="1100"/>
        <w:gridCol w:w="2326"/>
      </w:tblGrid>
      <w:tr>
        <w:trPr>
          <w:tblHeader/>
        </w:trPr>
        <w:tc>
          <w:tcPr>
            <w:tcW w:type="dxa" w:w="15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Unité de travail</w:t>
            </w:r>
          </w:p>
        </w:tc>
        <w:tc>
          <w:tcPr>
            <w:tcW w:type="dxa" w:w="23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Risque identifié</w:t>
            </w:r>
          </w:p>
        </w:tc>
        <w:tc>
          <w:tcPr>
            <w:tcW w:type="dxa" w:w="9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Gravité</w:t>
            </w:r>
          </w:p>
        </w:tc>
        <w:tc>
          <w:tcPr>
            <w:tcW w:type="dxa" w:w="9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Fréquence</w:t>
            </w:r>
          </w:p>
        </w:tc>
        <w:tc>
          <w:tcPr>
            <w:tcW w:type="dxa" w:w="11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Niveau</w:t>
            </w:r>
          </w:p>
        </w:tc>
        <w:tc>
          <w:tcPr>
            <w:tcW w:type="dxa" w:w="2326"/>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Mesures de prévention existantes</w:t>
            </w:r>
          </w:p>
        </w:tc>
      </w:tr>
      <w:tr>
        <w:tc>
          <w:tcPr>
            <w:tcW w:type="dxa" w:w="1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[UNITÉ]</w:t>
            </w:r>
          </w:p>
        </w:tc>
        <w:tc>
          <w:tcPr>
            <w:tcW w:type="dxa" w:w="23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[RISQUE IDENTIFIÉ]</w:t>
            </w:r>
          </w:p>
        </w:tc>
        <w:tc>
          <w:tcPr>
            <w:tcW w:type="dxa" w:w="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[1-4]</w:t>
            </w:r>
          </w:p>
        </w:tc>
        <w:tc>
          <w:tcPr>
            <w:tcW w:type="dxa" w:w="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[1-4]</w:t>
            </w:r>
          </w:p>
        </w:tc>
        <w:tc>
          <w:tcPr>
            <w:tcW w:type="dxa" w:w="11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[NIVEAU]</w:t>
            </w:r>
          </w:p>
        </w:tc>
        <w:tc>
          <w:tcPr>
            <w:tcW w:type="dxa" w:w="2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[MESURES EN PLACE]</w:t>
            </w:r>
          </w:p>
        </w:tc>
      </w:tr>
      <w:tr>
        <w:tc>
          <w:tcPr>
            <w:tcW w:type="dxa" w:w="1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[UNITÉ]</w:t>
            </w:r>
          </w:p>
        </w:tc>
        <w:tc>
          <w:tcPr>
            <w:tcW w:type="dxa" w:w="23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[RISQUE IDENTIFIÉ]</w:t>
            </w:r>
          </w:p>
        </w:tc>
        <w:tc>
          <w:tcPr>
            <w:tcW w:type="dxa" w:w="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[1-4]</w:t>
            </w:r>
          </w:p>
        </w:tc>
        <w:tc>
          <w:tcPr>
            <w:tcW w:type="dxa" w:w="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[1-4]</w:t>
            </w:r>
          </w:p>
        </w:tc>
        <w:tc>
          <w:tcPr>
            <w:tcW w:type="dxa" w:w="11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[NIVEAU]</w:t>
            </w:r>
          </w:p>
        </w:tc>
        <w:tc>
          <w:tcPr>
            <w:tcW w:type="dxa" w:w="2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[MESURES EN PLACE]</w:t>
            </w:r>
          </w:p>
        </w:tc>
      </w:tr>
      <w:tr>
        <w:tc>
          <w:tcPr>
            <w:tcW w:type="dxa" w:w="1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[UNITÉ]</w:t>
            </w:r>
          </w:p>
        </w:tc>
        <w:tc>
          <w:tcPr>
            <w:tcW w:type="dxa" w:w="23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[RISQUE IDENTIFIÉ]</w:t>
            </w:r>
          </w:p>
        </w:tc>
        <w:tc>
          <w:tcPr>
            <w:tcW w:type="dxa" w:w="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[1-4]</w:t>
            </w:r>
          </w:p>
        </w:tc>
        <w:tc>
          <w:tcPr>
            <w:tcW w:type="dxa" w:w="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[1-4]</w:t>
            </w:r>
          </w:p>
        </w:tc>
        <w:tc>
          <w:tcPr>
            <w:tcW w:type="dxa" w:w="11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[NIVEAU]</w:t>
            </w:r>
          </w:p>
        </w:tc>
        <w:tc>
          <w:tcPr>
            <w:tcW w:type="dxa" w:w="2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[MESURES EN PLACE]</w:t>
            </w:r>
          </w:p>
        </w:tc>
      </w:tr>
      <w:tr>
        <w:tc>
          <w:tcPr>
            <w:tcW w:type="dxa" w:w="1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[UNITÉ]</w:t>
            </w:r>
          </w:p>
        </w:tc>
        <w:tc>
          <w:tcPr>
            <w:tcW w:type="dxa" w:w="23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[RISQUE IDENTIFIÉ]</w:t>
            </w:r>
          </w:p>
        </w:tc>
        <w:tc>
          <w:tcPr>
            <w:tcW w:type="dxa" w:w="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[1-4]</w:t>
            </w:r>
          </w:p>
        </w:tc>
        <w:tc>
          <w:tcPr>
            <w:tcW w:type="dxa" w:w="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[1-4]</w:t>
            </w:r>
          </w:p>
        </w:tc>
        <w:tc>
          <w:tcPr>
            <w:tcW w:type="dxa" w:w="11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[NIVEAU]</w:t>
            </w:r>
          </w:p>
        </w:tc>
        <w:tc>
          <w:tcPr>
            <w:tcW w:type="dxa" w:w="2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[MESURES EN PLACE]</w:t>
            </w:r>
          </w:p>
        </w:tc>
      </w:tr>
    </w:tbl>
    <w:p>
      <w:pPr>
        <w:spacing w:after="140" w:line="276"/>
      </w:pPr>
      <w:r>
        <w:rPr>
          <w:rFonts w:ascii="Arial" w:cs="Arial" w:eastAsia="Arial" w:hAnsi="Arial"/>
          <w:i/>
          <w:iCs/>
          <w:color w:val="888888"/>
          <w:sz w:val="19"/>
          <w:szCs w:val="19"/>
        </w:rPr>
        <w:t xml:space="preserve">Note : la cotation gravité × fréquence est exprimée sur une échelle de 1 à 4. Le niveau de risque résultant est repris dans le plan d’action de la Partie 4.</w:t>
      </w:r>
    </w:p>
    <w:p>
      <w:pPr>
        <w:pStyle w:val="Heading2"/>
        <w:spacing w:after="80" w:before="180"/>
      </w:pPr>
      <w:r>
        <w:rPr>
          <w:rFonts w:ascii="Arial" w:cs="Arial" w:eastAsia="Arial" w:hAnsi="Arial"/>
        </w:rPr>
        <w:t xml:space="preserve">Pièces jointes — Partie 2</w:t>
      </w:r>
    </w:p>
    <w:p>
      <w:pPr>
        <w:pStyle w:val="ListParagraph"/>
        <w:numPr>
          <w:ilvl w:val="0"/>
          <w:numId w:val="2"/>
        </w:numPr>
        <w:spacing w:after="60"/>
      </w:pPr>
      <w:r>
        <w:rPr>
          <w:rFonts w:ascii="Arial" w:cs="Arial" w:eastAsia="Arial" w:hAnsi="Arial"/>
          <w:sz w:val="21"/>
          <w:szCs w:val="21"/>
        </w:rPr>
        <w:t xml:space="preserve">Photographies / constats de poste : </w:t>
      </w:r>
      <w:r>
        <w:rPr>
          <w:rFonts w:ascii="Arial" w:cs="Arial" w:eastAsia="Arial" w:hAnsi="Arial"/>
          <w:sz w:val="21"/>
          <w:szCs w:val="21"/>
          <w:highlight w:val="yellow"/>
        </w:rPr>
        <w:t xml:space="preserve">[NOM DU FICHIER JOINT]</w:t>
      </w:r>
    </w:p>
    <w:p>
      <w:pPr>
        <w:pStyle w:val="ListParagraph"/>
        <w:numPr>
          <w:ilvl w:val="0"/>
          <w:numId w:val="2"/>
        </w:numPr>
        <w:spacing w:after="60"/>
      </w:pPr>
      <w:r>
        <w:rPr>
          <w:rFonts w:ascii="Arial" w:cs="Arial" w:eastAsia="Arial" w:hAnsi="Arial"/>
          <w:sz w:val="21"/>
          <w:szCs w:val="21"/>
        </w:rPr>
        <w:t xml:space="preserve">Mesures (bruit, empoussièrement…) : </w:t>
      </w:r>
      <w:r>
        <w:rPr>
          <w:rFonts w:ascii="Arial" w:cs="Arial" w:eastAsia="Arial" w:hAnsi="Arial"/>
          <w:sz w:val="21"/>
          <w:szCs w:val="21"/>
          <w:highlight w:val="yellow"/>
        </w:rPr>
        <w:t xml:space="preserve">[NOM DU FICHIER JOINT]</w:t>
      </w:r>
    </w:p>
    <w:p>
      <w:pPr>
        <w:pageBreakBefore/>
      </w:pPr>
    </w:p>
    <w:p>
      <w:pPr>
        <w:pStyle w:val="Heading1"/>
        <w:spacing w:after="120" w:before="240"/>
      </w:pPr>
      <w:r>
        <w:rPr>
          <w:rFonts w:ascii="Arial" w:cs="Arial" w:eastAsia="Arial" w:hAnsi="Arial"/>
        </w:rPr>
        <w:t xml:space="preserve">Partie 3 — Produits dangereux et machines</w:t>
      </w:r>
    </w:p>
    <w:p>
      <w:pPr>
        <w:spacing w:after="140" w:line="276"/>
      </w:pPr>
      <w:r>
        <w:rPr>
          <w:rFonts w:ascii="Arial" w:cs="Arial" w:eastAsia="Arial" w:hAnsi="Arial"/>
          <w:b/>
          <w:bCs/>
          <w:color w:val="2E5BBA"/>
          <w:sz w:val="18"/>
          <w:szCs w:val="18"/>
        </w:rPr>
        <w:t xml:space="preserve">Onglet D — Produits dangereux &amp; Machines</w:t>
      </w:r>
    </w:p>
    <w:p>
      <w:pPr>
        <w:pBdr>
          <w:bottom w:val="single" w:color="2E5BBA" w:sz="14" w:space="1"/>
        </w:pBdr>
        <w:spacing w:after="160"/>
      </w:pPr>
    </w:p>
    <w:p>
      <w:pPr>
        <w:spacing w:after="140" w:line="276"/>
      </w:pPr>
      <w:r>
        <w:rPr>
          <w:rFonts w:ascii="Arial" w:cs="Arial" w:eastAsia="Arial" w:hAnsi="Arial"/>
          <w:sz w:val="21"/>
          <w:szCs w:val="21"/>
        </w:rPr>
        <w:t xml:space="preserve">Cette partie recense les produits chimiques dangereux et les machines et équipements de travail utilisés dans l’entreprise. Ces éléments font l’objet d’obligations spécifiques : fiches de données de sécurité (FDS) pour les produits chimiques, et contrôles réglementaires périodiques pour les machines et équipements.</w:t>
      </w:r>
    </w:p>
    <w:p>
      <w:pPr>
        <w:pStyle w:val="Heading2"/>
        <w:spacing w:after="80" w:before="180"/>
      </w:pPr>
      <w:r>
        <w:rPr>
          <w:rFonts w:ascii="Arial" w:cs="Arial" w:eastAsia="Arial" w:hAnsi="Arial"/>
        </w:rPr>
        <w:t xml:space="preserve">Produits dangereux</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700"/>
        <w:gridCol w:w="1500"/>
        <w:gridCol w:w="2400"/>
        <w:gridCol w:w="2426"/>
      </w:tblGrid>
      <w:tr>
        <w:trPr>
          <w:tblHeader/>
        </w:trPr>
        <w:tc>
          <w:tcPr>
            <w:tcW w:type="dxa" w:w="27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Produit</w:t>
            </w:r>
          </w:p>
        </w:tc>
        <w:tc>
          <w:tcPr>
            <w:tcW w:type="dxa" w:w="15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FDS jointe</w:t>
            </w:r>
          </w:p>
        </w:tc>
        <w:tc>
          <w:tcPr>
            <w:tcW w:type="dxa" w:w="24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Risque principal</w:t>
            </w:r>
          </w:p>
        </w:tc>
        <w:tc>
          <w:tcPr>
            <w:tcW w:type="dxa" w:w="2426"/>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Mesures de prévention</w:t>
            </w:r>
          </w:p>
        </w:tc>
      </w:tr>
      <w:tr>
        <w:tc>
          <w:tcPr>
            <w:tcW w:type="dxa" w:w="27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[PRODUIT]</w:t>
            </w:r>
          </w:p>
        </w:tc>
        <w:tc>
          <w:tcPr>
            <w:tcW w:type="dxa" w:w="1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[NOM FICHIER FDS]</w:t>
            </w:r>
          </w:p>
        </w:tc>
        <w:tc>
          <w:tcPr>
            <w:tcW w:type="dxa" w:w="24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[RISQUE]</w:t>
            </w:r>
          </w:p>
        </w:tc>
        <w:tc>
          <w:tcPr>
            <w:tcW w:type="dxa" w:w="24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[MESURES]</w:t>
            </w:r>
          </w:p>
        </w:tc>
      </w:tr>
      <w:tr>
        <w:tc>
          <w:tcPr>
            <w:tcW w:type="dxa" w:w="27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[PRODUIT]</w:t>
            </w:r>
          </w:p>
        </w:tc>
        <w:tc>
          <w:tcPr>
            <w:tcW w:type="dxa" w:w="1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[NOM FICHIER FDS]</w:t>
            </w:r>
          </w:p>
        </w:tc>
        <w:tc>
          <w:tcPr>
            <w:tcW w:type="dxa" w:w="24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[RISQUE]</w:t>
            </w:r>
          </w:p>
        </w:tc>
        <w:tc>
          <w:tcPr>
            <w:tcW w:type="dxa" w:w="24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[MESURES]</w:t>
            </w:r>
          </w:p>
        </w:tc>
      </w:tr>
      <w:tr>
        <w:tc>
          <w:tcPr>
            <w:tcW w:type="dxa" w:w="27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[PRODUIT]</w:t>
            </w:r>
          </w:p>
        </w:tc>
        <w:tc>
          <w:tcPr>
            <w:tcW w:type="dxa" w:w="1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[NOM FICHIER FDS]</w:t>
            </w:r>
          </w:p>
        </w:tc>
        <w:tc>
          <w:tcPr>
            <w:tcW w:type="dxa" w:w="24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[RISQUE]</w:t>
            </w:r>
          </w:p>
        </w:tc>
        <w:tc>
          <w:tcPr>
            <w:tcW w:type="dxa" w:w="24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[MESURES]</w:t>
            </w:r>
          </w:p>
        </w:tc>
      </w:tr>
    </w:tbl>
    <w:p>
      <w:pPr>
        <w:pStyle w:val="Heading2"/>
        <w:spacing w:after="80" w:before="180"/>
      </w:pPr>
      <w:r>
        <w:rPr>
          <w:rFonts w:ascii="Arial" w:cs="Arial" w:eastAsia="Arial" w:hAnsi="Arial"/>
        </w:rPr>
        <w:t xml:space="preserve">Machines et équipements de travail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1300"/>
        <w:gridCol w:w="2400"/>
        <w:gridCol w:w="2326"/>
      </w:tblGrid>
      <w:tr>
        <w:trPr>
          <w:tblHeader/>
        </w:trPr>
        <w:tc>
          <w:tcPr>
            <w:tcW w:type="dxa" w:w="30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Machine / équipement</w:t>
            </w:r>
          </w:p>
        </w:tc>
        <w:tc>
          <w:tcPr>
            <w:tcW w:type="dxa" w:w="13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Année</w:t>
            </w:r>
          </w:p>
        </w:tc>
        <w:tc>
          <w:tcPr>
            <w:tcW w:type="dxa" w:w="24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Contrôle réglementaire</w:t>
            </w:r>
          </w:p>
        </w:tc>
        <w:tc>
          <w:tcPr>
            <w:tcW w:type="dxa" w:w="2326"/>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Date dernier contrôle</w:t>
            </w:r>
          </w:p>
        </w:tc>
      </w:tr>
      <w:tr>
        <w:tc>
          <w:tcPr>
            <w:tcW w:type="dxa" w:w="30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[MACHINE]</w:t>
            </w:r>
          </w:p>
        </w:tc>
        <w:tc>
          <w:tcPr>
            <w:tcW w:type="dxa" w:w="13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[ANNÉE]</w:t>
            </w:r>
          </w:p>
        </w:tc>
        <w:tc>
          <w:tcPr>
            <w:tcW w:type="dxa" w:w="24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[OUI/NON — TYPE]</w:t>
            </w:r>
          </w:p>
        </w:tc>
        <w:tc>
          <w:tcPr>
            <w:tcW w:type="dxa" w:w="2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[JJ/MM/AAAA]</w:t>
            </w:r>
          </w:p>
        </w:tc>
      </w:tr>
      <w:tr>
        <w:tc>
          <w:tcPr>
            <w:tcW w:type="dxa" w:w="30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[MACHINE]</w:t>
            </w:r>
          </w:p>
        </w:tc>
        <w:tc>
          <w:tcPr>
            <w:tcW w:type="dxa" w:w="13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[ANNÉE]</w:t>
            </w:r>
          </w:p>
        </w:tc>
        <w:tc>
          <w:tcPr>
            <w:tcW w:type="dxa" w:w="24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[OUI/NON — TYPE]</w:t>
            </w:r>
          </w:p>
        </w:tc>
        <w:tc>
          <w:tcPr>
            <w:tcW w:type="dxa" w:w="2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[JJ/MM/AAAA]</w:t>
            </w:r>
          </w:p>
        </w:tc>
      </w:tr>
      <w:tr>
        <w:tc>
          <w:tcPr>
            <w:tcW w:type="dxa" w:w="30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[MACHINE]</w:t>
            </w:r>
          </w:p>
        </w:tc>
        <w:tc>
          <w:tcPr>
            <w:tcW w:type="dxa" w:w="13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[ANNÉE]</w:t>
            </w:r>
          </w:p>
        </w:tc>
        <w:tc>
          <w:tcPr>
            <w:tcW w:type="dxa" w:w="24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[OUI/NON — TYPE]</w:t>
            </w:r>
          </w:p>
        </w:tc>
        <w:tc>
          <w:tcPr>
            <w:tcW w:type="dxa" w:w="2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[JJ/MM/AAAA]</w:t>
            </w:r>
          </w:p>
        </w:tc>
      </w:tr>
    </w:tbl>
    <w:p>
      <w:pPr>
        <w:pStyle w:val="Heading2"/>
        <w:spacing w:after="80" w:before="180"/>
      </w:pPr>
      <w:r>
        <w:rPr>
          <w:rFonts w:ascii="Arial" w:cs="Arial" w:eastAsia="Arial" w:hAnsi="Arial"/>
        </w:rPr>
        <w:t xml:space="preserve">Pièces jointes — Partie 3</w:t>
      </w:r>
    </w:p>
    <w:p>
      <w:pPr>
        <w:pStyle w:val="ListParagraph"/>
        <w:numPr>
          <w:ilvl w:val="0"/>
          <w:numId w:val="2"/>
        </w:numPr>
        <w:spacing w:after="60"/>
      </w:pPr>
      <w:r>
        <w:rPr>
          <w:rFonts w:ascii="Arial" w:cs="Arial" w:eastAsia="Arial" w:hAnsi="Arial"/>
          <w:sz w:val="21"/>
          <w:szCs w:val="21"/>
        </w:rPr>
        <w:t xml:space="preserve">Fiches de données de sécurité (FDS) : </w:t>
      </w:r>
      <w:r>
        <w:rPr>
          <w:rFonts w:ascii="Arial" w:cs="Arial" w:eastAsia="Arial" w:hAnsi="Arial"/>
          <w:sz w:val="21"/>
          <w:szCs w:val="21"/>
          <w:highlight w:val="yellow"/>
        </w:rPr>
        <w:t xml:space="preserve">[LISTE DES NOMS DE FICHIERS JOINTS]</w:t>
      </w:r>
    </w:p>
    <w:p>
      <w:pPr>
        <w:pStyle w:val="ListParagraph"/>
        <w:numPr>
          <w:ilvl w:val="0"/>
          <w:numId w:val="2"/>
        </w:numPr>
        <w:spacing w:after="60"/>
      </w:pPr>
      <w:r>
        <w:rPr>
          <w:rFonts w:ascii="Arial" w:cs="Arial" w:eastAsia="Arial" w:hAnsi="Arial"/>
          <w:sz w:val="21"/>
          <w:szCs w:val="21"/>
        </w:rPr>
        <w:t xml:space="preserve">Rapports de contrôle / certificats de conformité : </w:t>
      </w:r>
      <w:r>
        <w:rPr>
          <w:rFonts w:ascii="Arial" w:cs="Arial" w:eastAsia="Arial" w:hAnsi="Arial"/>
          <w:sz w:val="21"/>
          <w:szCs w:val="21"/>
          <w:highlight w:val="yellow"/>
        </w:rPr>
        <w:t xml:space="preserve">[LISTE DES NOMS DE FICHIERS JOINTS]</w:t>
      </w:r>
    </w:p>
    <w:p>
      <w:pPr>
        <w:pageBreakBefore/>
      </w:pPr>
    </w:p>
    <w:p>
      <w:pPr>
        <w:pStyle w:val="Heading1"/>
        <w:spacing w:after="120" w:before="240"/>
      </w:pPr>
      <w:r>
        <w:rPr>
          <w:rFonts w:ascii="Arial" w:cs="Arial" w:eastAsia="Arial" w:hAnsi="Arial"/>
        </w:rPr>
        <w:t xml:space="preserve">Partie 4 — Plan d’action de prévention</w:t>
      </w:r>
    </w:p>
    <w:p>
      <w:pPr>
        <w:spacing w:after="60"/>
      </w:pPr>
      <w:r>
        <w:rPr>
          <w:rFonts w:ascii="Arial" w:cs="Arial" w:eastAsia="Arial" w:hAnsi="Arial"/>
          <w:b/>
          <w:bCs/>
          <w:color w:val="2E5BBA"/>
          <w:sz w:val="18"/>
          <w:szCs w:val="18"/>
        </w:rPr>
        <w:t xml:space="preserve">Onglet E — Plan d’actions</w:t>
      </w:r>
    </w:p>
    <w:p>
      <w:pPr>
        <w:spacing w:after="140"/>
      </w:pPr>
      <w:r>
        <w:rPr>
          <w:rFonts w:ascii="Arial" w:cs="Arial" w:eastAsia="Arial" w:hAnsi="Arial"/>
          <w:i/>
          <w:iCs/>
          <w:sz w:val="18"/>
          <w:szCs w:val="18"/>
          <w:highlight w:val="yellow"/>
        </w:rPr>
        <w:t xml:space="preserve">[Intitulé auto-adapté selon l’effectif : « PAPRIPACT — Programme Annuel de Prévention des Risques Professionnels et d’Amélioration des Conditions de Travail » si effectif ≥ 50 salariés ; « Liste des actions de prévention » si effectif &lt; 50 salariés]</w:t>
      </w:r>
    </w:p>
    <w:p>
      <w:pPr>
        <w:pBdr>
          <w:bottom w:val="single" w:color="2E5BBA" w:sz="14" w:space="1"/>
        </w:pBdr>
        <w:spacing w:after="160"/>
      </w:pPr>
    </w:p>
    <w:p>
      <w:pPr>
        <w:spacing w:after="140" w:line="276"/>
      </w:pPr>
      <w:r>
        <w:rPr>
          <w:rFonts w:ascii="Arial" w:cs="Arial" w:eastAsia="Arial" w:hAnsi="Arial"/>
          <w:sz w:val="21"/>
          <w:szCs w:val="21"/>
        </w:rPr>
        <w:t xml:space="preserve">Le plan d’action traduit les risques évalués en actions de prévention concrètes. Pour les entreprises d’au moins 50 salariés, il prend la forme d’un PAPRIPACT présenté chaque année au CSE ; en deçà de ce seuil, il se présente comme une liste consolidée des actions de prévention. Chaque action est hiérarchisée selon sa priorité et associée à une échéance et à un statut de suivi. Ce tableau est alimenté automatiquement à partir des risques cotés dans l’onglet 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00"/>
        <w:gridCol w:w="1900"/>
        <w:gridCol w:w="1500"/>
        <w:gridCol w:w="2200"/>
        <w:gridCol w:w="900"/>
        <w:gridCol w:w="1126"/>
        <w:gridCol w:w="800"/>
      </w:tblGrid>
      <w:tr>
        <w:trPr>
          <w:tblHeader/>
        </w:trPr>
        <w:tc>
          <w:tcPr>
            <w:tcW w:type="dxa" w:w="6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N°</w:t>
            </w:r>
          </w:p>
        </w:tc>
        <w:tc>
          <w:tcPr>
            <w:tcW w:type="dxa" w:w="19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Risque concerné</w:t>
            </w:r>
          </w:p>
        </w:tc>
        <w:tc>
          <w:tcPr>
            <w:tcW w:type="dxa" w:w="15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Unité de travail</w:t>
            </w:r>
          </w:p>
        </w:tc>
        <w:tc>
          <w:tcPr>
            <w:tcW w:type="dxa" w:w="22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Action de prévention</w:t>
            </w:r>
          </w:p>
        </w:tc>
        <w:tc>
          <w:tcPr>
            <w:tcW w:type="dxa" w:w="9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Priorité</w:t>
            </w:r>
          </w:p>
        </w:tc>
        <w:tc>
          <w:tcPr>
            <w:tcW w:type="dxa" w:w="1126"/>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Échéance</w:t>
            </w:r>
          </w:p>
        </w:tc>
        <w:tc>
          <w:tcPr>
            <w:tcW w:type="dxa" w:w="800"/>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Statut</w:t>
            </w:r>
          </w:p>
        </w:tc>
      </w:tr>
      <w:tr>
        <w:tc>
          <w:tcPr>
            <w:tcW w:type="dxa" w:w="6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rPr>
              <w:t xml:space="preserve">1</w:t>
            </w:r>
          </w:p>
        </w:tc>
        <w:tc>
          <w:tcPr>
            <w:tcW w:type="dxa" w:w="1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[RISQUE]</w:t>
            </w:r>
          </w:p>
        </w:tc>
        <w:tc>
          <w:tcPr>
            <w:tcW w:type="dxa" w:w="1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[UNITÉ]</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[ACTION]</w:t>
            </w:r>
          </w:p>
        </w:tc>
        <w:tc>
          <w:tcPr>
            <w:tcW w:type="dxa" w:w="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[H/M/B]</w:t>
            </w:r>
          </w:p>
        </w:tc>
        <w:tc>
          <w:tcPr>
            <w:tcW w:type="dxa" w:w="11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[DATE]</w:t>
            </w:r>
          </w:p>
        </w:tc>
        <w:tc>
          <w:tcPr>
            <w:tcW w:type="dxa" w:w="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[STATUT]</w:t>
            </w:r>
          </w:p>
        </w:tc>
      </w:tr>
      <w:tr>
        <w:tc>
          <w:tcPr>
            <w:tcW w:type="dxa" w:w="6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rPr>
              <w:t xml:space="preserve">2</w:t>
            </w:r>
          </w:p>
        </w:tc>
        <w:tc>
          <w:tcPr>
            <w:tcW w:type="dxa" w:w="1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[RISQUE]</w:t>
            </w:r>
          </w:p>
        </w:tc>
        <w:tc>
          <w:tcPr>
            <w:tcW w:type="dxa" w:w="1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[UNITÉ]</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[ACTION]</w:t>
            </w:r>
          </w:p>
        </w:tc>
        <w:tc>
          <w:tcPr>
            <w:tcW w:type="dxa" w:w="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[H/M/B]</w:t>
            </w:r>
          </w:p>
        </w:tc>
        <w:tc>
          <w:tcPr>
            <w:tcW w:type="dxa" w:w="11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[DATE]</w:t>
            </w:r>
          </w:p>
        </w:tc>
        <w:tc>
          <w:tcPr>
            <w:tcW w:type="dxa" w:w="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[STATUT]</w:t>
            </w:r>
          </w:p>
        </w:tc>
      </w:tr>
      <w:tr>
        <w:tc>
          <w:tcPr>
            <w:tcW w:type="dxa" w:w="6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rPr>
              <w:t xml:space="preserve">3</w:t>
            </w:r>
          </w:p>
        </w:tc>
        <w:tc>
          <w:tcPr>
            <w:tcW w:type="dxa" w:w="1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[RISQUE]</w:t>
            </w:r>
          </w:p>
        </w:tc>
        <w:tc>
          <w:tcPr>
            <w:tcW w:type="dxa" w:w="1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[UNITÉ]</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[ACTION]</w:t>
            </w:r>
          </w:p>
        </w:tc>
        <w:tc>
          <w:tcPr>
            <w:tcW w:type="dxa" w:w="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[H/M/B]</w:t>
            </w:r>
          </w:p>
        </w:tc>
        <w:tc>
          <w:tcPr>
            <w:tcW w:type="dxa" w:w="11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[DATE]</w:t>
            </w:r>
          </w:p>
        </w:tc>
        <w:tc>
          <w:tcPr>
            <w:tcW w:type="dxa" w:w="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[STATUT]</w:t>
            </w:r>
          </w:p>
        </w:tc>
      </w:tr>
      <w:tr>
        <w:tc>
          <w:tcPr>
            <w:tcW w:type="dxa" w:w="6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rPr>
              <w:t xml:space="preserve">4</w:t>
            </w:r>
          </w:p>
        </w:tc>
        <w:tc>
          <w:tcPr>
            <w:tcW w:type="dxa" w:w="1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[RISQUE]</w:t>
            </w:r>
          </w:p>
        </w:tc>
        <w:tc>
          <w:tcPr>
            <w:tcW w:type="dxa" w:w="1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[UNITÉ]</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[ACTION]</w:t>
            </w:r>
          </w:p>
        </w:tc>
        <w:tc>
          <w:tcPr>
            <w:tcW w:type="dxa" w:w="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[H/M/B]</w:t>
            </w:r>
          </w:p>
        </w:tc>
        <w:tc>
          <w:tcPr>
            <w:tcW w:type="dxa" w:w="11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[DATE]</w:t>
            </w:r>
          </w:p>
        </w:tc>
        <w:tc>
          <w:tcPr>
            <w:tcW w:type="dxa" w:w="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[STATUT]</w:t>
            </w:r>
          </w:p>
        </w:tc>
      </w:tr>
      <w:tr>
        <w:tc>
          <w:tcPr>
            <w:tcW w:type="dxa" w:w="6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rPr>
              <w:t xml:space="preserve">5</w:t>
            </w:r>
          </w:p>
        </w:tc>
        <w:tc>
          <w:tcPr>
            <w:tcW w:type="dxa" w:w="1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[RISQUE]</w:t>
            </w:r>
          </w:p>
        </w:tc>
        <w:tc>
          <w:tcPr>
            <w:tcW w:type="dxa" w:w="1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[UNITÉ]</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[ACTION]</w:t>
            </w:r>
          </w:p>
        </w:tc>
        <w:tc>
          <w:tcPr>
            <w:tcW w:type="dxa" w:w="9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[H/M/B]</w:t>
            </w:r>
          </w:p>
        </w:tc>
        <w:tc>
          <w:tcPr>
            <w:tcW w:type="dxa" w:w="11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[DATE]</w:t>
            </w:r>
          </w:p>
        </w:tc>
        <w:tc>
          <w:tcPr>
            <w:tcW w:type="dxa" w:w="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7"/>
                <w:szCs w:val="17"/>
                <w:highlight w:val="yellow"/>
              </w:rPr>
              <w:t xml:space="preserve">[STATUT]</w:t>
            </w:r>
          </w:p>
        </w:tc>
      </w:tr>
    </w:tbl>
    <w:p>
      <w:pPr>
        <w:spacing w:after="140" w:line="276"/>
      </w:pPr>
      <w:r>
        <w:rPr>
          <w:rFonts w:ascii="Arial" w:cs="Arial" w:eastAsia="Arial" w:hAnsi="Arial"/>
          <w:i/>
          <w:iCs/>
          <w:color w:val="888888"/>
          <w:sz w:val="19"/>
          <w:szCs w:val="19"/>
        </w:rPr>
        <w:t xml:space="preserve">Priorité : H = haute, M = moyenne, B = basse. Le statut permet le suivi dans le temps (à engager / en cours / réalisé) et est mis à jour à chaque révision du DUERP sur ADEMOVA.</w:t>
      </w:r>
    </w:p>
    <w:p>
      <w:pPr>
        <w:pageBreakBefore/>
      </w:pPr>
    </w:p>
    <w:p>
      <w:pPr>
        <w:pStyle w:val="Heading1"/>
        <w:spacing w:after="120" w:before="240"/>
      </w:pPr>
      <w:r>
        <w:rPr>
          <w:rFonts w:ascii="Arial" w:cs="Arial" w:eastAsia="Arial" w:hAnsi="Arial"/>
        </w:rPr>
        <w:t xml:space="preserve">Validation du document</w:t>
      </w:r>
    </w:p>
    <w:p>
      <w:pPr>
        <w:pBdr>
          <w:bottom w:val="single" w:color="2E5BBA" w:sz="14" w:space="1"/>
        </w:pBdr>
        <w:spacing w:after="160"/>
      </w:pPr>
    </w:p>
    <w:p>
      <w:pPr>
        <w:spacing w:after="140" w:line="276"/>
      </w:pPr>
      <w:r>
        <w:rPr>
          <w:rFonts w:ascii="Arial" w:cs="Arial" w:eastAsia="Arial" w:hAnsi="Arial"/>
          <w:sz w:val="21"/>
          <w:szCs w:val="21"/>
        </w:rPr>
        <w:t xml:space="preserve">Le Code du travail n’impose ni signature ni mention de date pour le DUERP. La validation ci-dessous est donc facultative ; elle est néanmoins recommandée afin d’assurer la traçabilité des versions et d’identifier le responsable de la démarche au sein de l’établissement. La responsabilité du DUERP incombe à l’employeur : le CSE n’en est pas cosignataire mais doit pouvoir y accéder.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6018"/>
      </w:tblGrid>
      <w:tr>
        <w:tc>
          <w:tcPr>
            <w:tcW w:type="dxa" w:w="9026"/>
            <w:tcBorders>
              <w:top w:val="single" w:color="BBBBBB" w:sz="2"/>
              <w:left w:val="single" w:color="BBBBBB" w:sz="2"/>
              <w:bottom w:val="single" w:color="BBBBBB" w:sz="2"/>
              <w:right w:val="single" w:color="BBBBBB" w:sz="2"/>
            </w:tcBorders>
            <w:shd w:fill="1A2A4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Responsable de l’établissement</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Nom et prénom</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[NOM DU RESPONSABLE]</w:t>
            </w:r>
          </w:p>
        </w:tc>
      </w:tr>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Fonction</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[FONCTION]</w:t>
            </w:r>
          </w:p>
        </w:tc>
      </w:tr>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Date de validation</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[JJ/MM/AAAA]</w:t>
            </w:r>
          </w:p>
        </w:tc>
      </w:tr>
      <w:tr>
        <w:tc>
          <w:tcPr>
            <w:tcW w:type="dxa" w:w="3200"/>
            <w:tcBorders>
              <w:top w:val="single" w:color="BBBBBB" w:sz="2"/>
              <w:left w:val="single" w:color="BBBBBB" w:sz="2"/>
              <w:bottom w:val="single" w:color="BBBBBB" w:sz="2"/>
              <w:right w:val="single" w:color="BBBBBB" w:sz="2"/>
            </w:tcBorders>
            <w:shd w:fill="EAF0FA"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Visa / signature</w:t>
            </w:r>
          </w:p>
        </w:tc>
        <w:tc>
          <w:tcPr>
            <w:tcW w:type="dxa" w:w="58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[ESPACE RÉSERVÉ AU VISA]</w:t>
            </w:r>
          </w:p>
        </w:tc>
      </w:tr>
    </w:tbl>
    <w:p>
      <w:pPr>
        <w:spacing w:after="60" w:before="160"/>
      </w:pPr>
      <w:r>
        <w:rPr>
          <w:rFonts w:ascii="Arial" w:cs="Arial" w:eastAsia="Arial" w:hAnsi="Arial"/>
          <w:sz w:val="21"/>
          <w:szCs w:val="21"/>
        </w:rPr>
        <w:t xml:space="preserve">Document porté à la connaissance du CSE le (le cas échéant) : </w:t>
      </w:r>
      <w:r>
        <w:rPr>
          <w:rFonts w:ascii="Arial" w:cs="Arial" w:eastAsia="Arial" w:hAnsi="Arial"/>
          <w:sz w:val="21"/>
          <w:szCs w:val="21"/>
          <w:highlight w:val="yellow"/>
        </w:rPr>
        <w:t xml:space="preserve">[JJ/MM/AAAA]</w:t>
      </w:r>
    </w:p>
    <w:p>
      <w:pPr>
        <w:pageBreakBefore/>
      </w:pPr>
    </w:p>
    <w:p>
      <w:pPr>
        <w:pStyle w:val="Heading1"/>
        <w:spacing w:after="120" w:before="240"/>
      </w:pPr>
      <w:r>
        <w:rPr>
          <w:rFonts w:ascii="Arial" w:cs="Arial" w:eastAsia="Arial" w:hAnsi="Arial"/>
        </w:rPr>
        <w:t xml:space="preserve">Avertissement et limite de responsabilité</w:t>
      </w:r>
    </w:p>
    <w:p>
      <w:pPr>
        <w:pBdr>
          <w:bottom w:val="single" w:color="2E5BBA" w:sz="14" w:space="1"/>
        </w:pBdr>
        <w:spacing w:after="160"/>
      </w:pPr>
    </w:p>
    <w:p>
      <w:pPr>
        <w:spacing w:after="140" w:line="276"/>
      </w:pPr>
      <w:r>
        <w:rPr>
          <w:rFonts w:ascii="Arial" w:cs="Arial" w:eastAsia="Arial" w:hAnsi="Arial"/>
          <w:sz w:val="21"/>
          <w:szCs w:val="21"/>
        </w:rPr>
        <w:t xml:space="preserve">Le présent rapport a été généré au moyen de la plateforme ADEMOVA (ADEMOVA.COM) à partir des seules informations déclarées par l’entreprise cliente dans les différents onglets de saisie. Il constitue une aide à la formalisation du Document Unique d’Évaluation des Risques Professionnels.</w:t>
      </w:r>
    </w:p>
    <w:p>
      <w:pPr>
        <w:spacing w:after="140" w:line="276"/>
      </w:pPr>
      <w:r>
        <w:rPr>
          <w:rFonts w:ascii="Arial" w:cs="Arial" w:eastAsia="Arial" w:hAnsi="Arial"/>
          <w:sz w:val="21"/>
          <w:szCs w:val="21"/>
        </w:rPr>
        <w:t xml:space="preserve">L’exactitude, l’exhaustivité et la pertinence des données saisies relèvent de la seule responsabilité de l’entreprise cliente et de son représentant légal. ADEMOVA n’intervient pas dans l’appréciation des risques propres à l’activité et ne procède à aucune vérification sur site. En conséquence, la responsabilité d’ADEMOVA ne saurait être engagée au titre du contenu du présent rapport, des évaluations qui y figurent, ni des décisions prises sur leur fondement.</w:t>
      </w:r>
    </w:p>
    <w:p>
      <w:pPr>
        <w:spacing w:after="140" w:line="276"/>
      </w:pPr>
      <w:r>
        <w:rPr>
          <w:rFonts w:ascii="Arial" w:cs="Arial" w:eastAsia="Arial" w:hAnsi="Arial"/>
          <w:sz w:val="21"/>
          <w:szCs w:val="21"/>
        </w:rPr>
        <w:t xml:space="preserve">Il appartient à l’employeur de s’assurer de la conformité de son DUERP au regard de ses obligations légales, de le mettre à jour selon la périodicité requise et, le cas échéant, de se faire accompagner par un professionnel de la prévention des risques.</w:t>
      </w:r>
    </w:p>
    <w:p>
      <w:pPr>
        <w:spacing w:after="140" w:line="276"/>
      </w:pPr>
      <w:r>
        <w:rPr>
          <w:rFonts w:ascii="Arial" w:cs="Arial" w:eastAsia="Arial" w:hAnsi="Arial"/>
          <w:sz w:val="21"/>
          <w:szCs w:val="21"/>
        </w:rPr>
        <w:t xml:space="preserve">Enfin, l’obligation de dépôt du DUERP sur un portail numérique national, prévue par la loi du 2 août 2021, n’est pas encore exigible à ce jour, le portail n’étant pas opérationnel. Dans l’intervalle, l’entreprise demeure tenue de conserver ses versions successives en interne (papier ou numérique) pendant une durée minimale de 40 ans. ADEMOVA assure cette conservation et l’historisation des versions au sein de la plateforme.</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tabs>
        <w:tab w:val="right" w:pos="9026"/>
      </w:tabs>
    </w:pPr>
    <w:r>
      <w:rPr>
        <w:rFonts w:ascii="Arial" w:cs="Arial" w:eastAsia="Arial" w:hAnsi="Arial"/>
        <w:color w:val="888888"/>
        <w:sz w:val="15"/>
        <w:szCs w:val="15"/>
      </w:rPr>
      <w:t xml:space="preserve">Réalisé sur ADEMOVA.COM</w:t>
    </w:r>
    <w:r>
      <w:rPr>
        <w:rFonts w:ascii="Arial" w:cs="Arial" w:eastAsia="Arial" w:hAnsi="Arial"/>
        <w:color w:val="888888"/>
        <w:sz w:val="15"/>
        <w:szCs w:val="15"/>
      </w:rPr>
      <w:t xml:space="preserve">	Page </w:t>
    </w:r>
    <w:r>
      <w:rPr>
        <w:rFonts w:ascii="Arial" w:cs="Arial" w:eastAsia="Arial" w:hAnsi="Arial"/>
        <w:color w:val="888888"/>
        <w:sz w:val="15"/>
        <w:szCs w:val="15"/>
      </w:rPr>
      <w:fldChar w:fldCharType="begin"/>
      <w:instrText xml:space="preserve">PAGE</w:instrText>
      <w:fldChar w:fldCharType="separate"/>
      <w:fldChar w:fldCharType="end"/>
    </w:r>
    <w:r>
      <w:rPr>
        <w:rFonts w:ascii="Arial" w:cs="Arial" w:eastAsia="Arial" w:hAnsi="Arial"/>
        <w:color w:val="888888"/>
        <w:sz w:val="15"/>
        <w:szCs w:val="15"/>
      </w:rPr>
      <w:t xml:space="preserve"> sur </w:t>
    </w:r>
    <w:r>
      <w:rPr>
        <w:rFonts w:ascii="Arial" w:cs="Arial" w:eastAsia="Arial" w:hAnsi="Arial"/>
        <w:color w:val="88888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1A2A4A"/>
      <w:sz w:val="30"/>
      <w:szCs w:val="30"/>
    </w:rPr>
  </w:style>
  <w:style w:type="paragraph" w:styleId="Heading2">
    <w:name w:val="Heading 2"/>
    <w:basedOn w:val="Normal"/>
    <w:next w:val="Normal"/>
    <w:qFormat/>
    <w:pPr>
      <w:spacing w:after="80" w:before="180"/>
      <w:outlineLvl w:val="1"/>
    </w:pPr>
    <w:rPr>
      <w:rFonts w:ascii="Arial" w:cs="Arial" w:eastAsia="Arial" w:hAnsi="Arial"/>
      <w:b/>
      <w:bCs/>
      <w:color w:val="2E5BBA"/>
      <w:sz w:val="24"/>
      <w:szCs w:val="24"/>
    </w:rPr>
  </w:style>
  <w:style w:type="paragraph" w:styleId="Heading3">
    <w:name w:val="Heading 3"/>
    <w:basedOn w:val="Normal"/>
    <w:next w:val="Normal"/>
    <w:qFormat/>
    <w:pPr>
      <w:spacing w:after="60" w:before="140"/>
      <w:outlineLvl w:val="2"/>
    </w:pPr>
    <w:rPr>
      <w:rFonts w:ascii="Arial" w:cs="Arial" w:eastAsia="Arial" w:hAnsi="Arial"/>
      <w:b/>
      <w:bCs/>
      <w:color w:val="1A2A4A"/>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2026-06-20T16:14:31.681Z</dcterms:created>
  <dcterms:modified xsi:type="dcterms:W3CDTF">2026-06-20T16:14:31.695Z</dcterms:modified>
</cp:coreProperties>
</file>

<file path=docProps/custom.xml><?xml version="1.0" encoding="utf-8"?>
<Properties xmlns="http://schemas.openxmlformats.org/officeDocument/2006/custom-properties" xmlns:vt="http://schemas.openxmlformats.org/officeDocument/2006/docPropsVTypes"/>
</file>