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300"/>
        <w:jc w:val="center"/>
      </w:pPr>
      <w:r>
        <w:rPr>
          <w:rFonts w:ascii="Arial" w:cs="Arial" w:eastAsia="Arial" w:hAnsi="Arial"/>
          <w:b/>
          <w:bCs/>
          <w:color w:val="1F7A4D"/>
          <w:sz w:val="30"/>
          <w:szCs w:val="30"/>
        </w:rPr>
        <w:t xml:space="preserve">ADEMOVA</w:t>
      </w:r>
    </w:p>
    <w:p>
      <w:pPr>
        <w:spacing w:after="560"/>
        <w:jc w:val="center"/>
      </w:pPr>
      <w:r>
        <w:rPr>
          <w:rFonts w:ascii="Arial" w:cs="Arial" w:eastAsia="Arial" w:hAnsi="Arial"/>
          <w:color w:val="888888"/>
          <w:sz w:val="17"/>
          <w:szCs w:val="17"/>
        </w:rPr>
        <w:t xml:space="preserve">Conformité réglementaire des entreprises</w:t>
      </w:r>
    </w:p>
    <w:p>
      <w:pPr>
        <w:spacing w:after="60" w:before="160"/>
        <w:jc w:val="center"/>
      </w:pPr>
      <w:r>
        <w:rPr>
          <w:rFonts w:ascii="Arial" w:cs="Arial" w:eastAsia="Arial" w:hAnsi="Arial"/>
          <w:b/>
          <w:bCs/>
          <w:color w:val="1A2A4A"/>
          <w:sz w:val="48"/>
          <w:szCs w:val="48"/>
        </w:rPr>
        <w:t xml:space="preserve">ANNEXE — OPTIONS V7</w:t>
      </w:r>
    </w:p>
    <w:p>
      <w:pPr>
        <w:spacing w:after="80"/>
        <w:jc w:val="center"/>
      </w:pPr>
      <w:r>
        <w:rPr>
          <w:rFonts w:ascii="Arial" w:cs="Arial" w:eastAsia="Arial" w:hAnsi="Arial"/>
          <w:i/>
          <w:iCs/>
          <w:color w:val="1F7A4D"/>
          <w:sz w:val="21"/>
          <w:szCs w:val="21"/>
        </w:rPr>
        <w:t xml:space="preserve">Résilience, transparence et continuité d’activité</w:t>
      </w:r>
    </w:p>
    <w:p>
      <w:pPr>
        <w:pBdr>
          <w:bottom w:val="single" w:color="1F7A4D" w:sz="18" w:space="6"/>
        </w:pBdr>
        <w:spacing w:after="460"/>
        <w:jc w:val="center"/>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700"/>
        <w:gridCol w:w="5326"/>
      </w:tblGrid>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Société</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[NOM DE LA SOCIÉTÉ]</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N° SIREN</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 SIREN]</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Rapport rattaché</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Rapport VSME — [JJ/MM/AAAA]</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Partie optionnelle activée</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Oui (case « Ajouter les Options V7 » cochée par le client)</w:t>
            </w:r>
          </w:p>
        </w:tc>
      </w:tr>
    </w:tbl>
    <w:p>
      <w:pPr>
        <w:spacing w:before="180"/>
      </w:pPr>
      <w:r>
        <w:rPr>
          <w:rFonts w:ascii="Arial" w:cs="Arial" w:eastAsia="Arial" w:hAnsi="Arial"/>
          <w:i/>
          <w:iCs/>
          <w:color w:val="888888"/>
          <w:sz w:val="20"/>
          <w:szCs w:val="20"/>
        </w:rPr>
        <w:t xml:space="preserve">Cette annexe est une partie optionnelle du rapport VSME, ajoutée à la demande de l’entreprise. Elle valorise la transparence et la résilience de la société (satisfaction, chaîne de valeur, gouvernance, dépendances) et constitue la base de préparation d’un Plan de Continuité / Reprise d’Activité (PCA/PRA). Elle s’adresse aux entreprises qui souhaitent aller plus loin que les exigences VSME et n’ont rien à cacher à leurs partenaires.</w:t>
      </w:r>
    </w:p>
    <w:p>
      <w:pPr>
        <w:pageBreakBefore/>
      </w:pPr>
    </w:p>
    <w:p>
      <w:pPr>
        <w:pStyle w:val="Heading1"/>
        <w:spacing w:after="120" w:before="240"/>
      </w:pPr>
      <w:r>
        <w:rPr>
          <w:rFonts w:ascii="Arial" w:cs="Arial" w:eastAsia="Arial" w:hAnsi="Arial"/>
        </w:rPr>
        <w:t xml:space="preserve">V7.1 — Satisfaction salarié</w:t>
      </w:r>
    </w:p>
    <w:p>
      <w:pPr>
        <w:pBdr>
          <w:bottom w:val="single" w:color="1F7A4D" w:sz="14" w:space="1"/>
        </w:pBdr>
        <w:spacing w:after="160"/>
      </w:pPr>
    </w:p>
    <w:p>
      <w:pPr>
        <w:spacing w:after="140" w:line="276"/>
      </w:pPr>
      <w:r>
        <w:rPr>
          <w:rFonts w:ascii="Arial" w:cs="Arial" w:eastAsia="Arial" w:hAnsi="Arial"/>
          <w:sz w:val="21"/>
          <w:szCs w:val="21"/>
        </w:rPr>
        <w:t xml:space="preserve">Indicateur ESG de plus en plus suivi par les investisseurs et donneurs d’ordre, mesurant l’engagement et le bien-être au travail.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700"/>
        <w:gridCol w:w="5326"/>
      </w:tblGrid>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Note de satisfaction salarié (sur 10)</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[NOTE]</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Taux de participation au sondage</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Date du dernier sondage</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[JJ/MM/AAAA]</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Principaux points d’amélioration</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[DESCRIPTION]</w:t>
            </w:r>
          </w:p>
        </w:tc>
      </w:tr>
    </w:tbl>
    <w:p>
      <w:pPr>
        <w:pStyle w:val="Heading2"/>
        <w:spacing w:after="80" w:before="180"/>
      </w:pPr>
      <w:r>
        <w:rPr>
          <w:rFonts w:ascii="Arial" w:cs="Arial" w:eastAsia="Arial" w:hAnsi="Arial"/>
        </w:rPr>
        <w:t xml:space="preserve">V7.1.6 — Procédures juridiques en cours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626"/>
        <w:gridCol w:w="2700"/>
        <w:gridCol w:w="2700"/>
      </w:tblGrid>
      <w:tr>
        <w:trPr>
          <w:tblHeader/>
        </w:trPr>
        <w:tc>
          <w:tcPr>
            <w:tcW w:type="dxa" w:w="3626"/>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Type de procédure</w:t>
            </w:r>
          </w:p>
        </w:tc>
        <w:tc>
          <w:tcPr>
            <w:tcW w:type="dxa" w:w="2700"/>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Nombre</w:t>
            </w:r>
          </w:p>
        </w:tc>
        <w:tc>
          <w:tcPr>
            <w:tcW w:type="dxa" w:w="2700"/>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Risque financier (€)</w:t>
            </w:r>
          </w:p>
        </w:tc>
      </w:tr>
      <w:tr>
        <w:tc>
          <w:tcPr>
            <w:tcW w:type="dxa" w:w="3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Avec salariés</w:t>
            </w:r>
          </w:p>
        </w:tc>
        <w:tc>
          <w:tcPr>
            <w:tcW w:type="dxa" w:w="27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[NB]</w:t>
            </w:r>
          </w:p>
        </w:tc>
        <w:tc>
          <w:tcPr>
            <w:tcW w:type="dxa" w:w="27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w:t>
            </w:r>
          </w:p>
        </w:tc>
      </w:tr>
      <w:tr>
        <w:tc>
          <w:tcPr>
            <w:tcW w:type="dxa" w:w="3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Avec clients</w:t>
            </w:r>
          </w:p>
        </w:tc>
        <w:tc>
          <w:tcPr>
            <w:tcW w:type="dxa" w:w="27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[NB]</w:t>
            </w:r>
          </w:p>
        </w:tc>
        <w:tc>
          <w:tcPr>
            <w:tcW w:type="dxa" w:w="27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w:t>
            </w:r>
          </w:p>
        </w:tc>
      </w:tr>
      <w:tr>
        <w:tc>
          <w:tcPr>
            <w:tcW w:type="dxa" w:w="3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Avec prestataires</w:t>
            </w:r>
          </w:p>
        </w:tc>
        <w:tc>
          <w:tcPr>
            <w:tcW w:type="dxa" w:w="27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[NB]</w:t>
            </w:r>
          </w:p>
        </w:tc>
        <w:tc>
          <w:tcPr>
            <w:tcW w:type="dxa" w:w="27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w:t>
            </w:r>
          </w:p>
        </w:tc>
      </w:tr>
      <w:tr>
        <w:tc>
          <w:tcPr>
            <w:tcW w:type="dxa" w:w="36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rPr>
              <w:t xml:space="preserve">Avec institutions</w:t>
            </w:r>
          </w:p>
        </w:tc>
        <w:tc>
          <w:tcPr>
            <w:tcW w:type="dxa" w:w="27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[NB]</w:t>
            </w:r>
          </w:p>
        </w:tc>
        <w:tc>
          <w:tcPr>
            <w:tcW w:type="dxa" w:w="27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w:t>
            </w:r>
          </w:p>
        </w:tc>
      </w:tr>
    </w:tbl>
    <w:p>
      <w:pPr>
        <w:pageBreakBefore/>
      </w:pPr>
    </w:p>
    <w:p>
      <w:pPr>
        <w:pStyle w:val="Heading1"/>
        <w:spacing w:after="120" w:before="240"/>
      </w:pPr>
      <w:r>
        <w:rPr>
          <w:rFonts w:ascii="Arial" w:cs="Arial" w:eastAsia="Arial" w:hAnsi="Arial"/>
        </w:rPr>
        <w:t xml:space="preserve">V7.2 — Chaîne de valeur — Fournisseurs &amp; clients</w:t>
      </w:r>
    </w:p>
    <w:p>
      <w:pPr>
        <w:pBdr>
          <w:bottom w:val="single" w:color="1F7A4D" w:sz="14" w:space="1"/>
        </w:pBdr>
        <w:spacing w:after="160"/>
      </w:pPr>
    </w:p>
    <w:p>
      <w:pPr>
        <w:spacing w:after="140" w:line="276"/>
      </w:pPr>
      <w:r>
        <w:rPr>
          <w:rFonts w:ascii="Arial" w:cs="Arial" w:eastAsia="Arial" w:hAnsi="Arial"/>
          <w:sz w:val="21"/>
          <w:szCs w:val="21"/>
        </w:rPr>
        <w:t xml:space="preserve">Référencer fournisseurs et clients permet le partage de scores ESG et l’adoption mutuelle de la démarche de durabilité.</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2300"/>
        <w:gridCol w:w="2213"/>
      </w:tblGrid>
      <w:tr>
        <w:trPr>
          <w:tblHeader/>
        </w:trPr>
        <w:tc>
          <w:tcPr>
            <w:tcW w:type="dxa" w:w="4513"/>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Partenaire (fournisseur / client)</w:t>
            </w:r>
          </w:p>
        </w:tc>
        <w:tc>
          <w:tcPr>
            <w:tcW w:type="dxa" w:w="2300"/>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SIRET</w:t>
            </w:r>
          </w:p>
        </w:tc>
        <w:tc>
          <w:tcPr>
            <w:tcW w:type="dxa" w:w="2213"/>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Score ESG partagé</w:t>
            </w:r>
          </w:p>
        </w:tc>
      </w:tr>
      <w:tr>
        <w:tc>
          <w:tcPr>
            <w:tcW w:type="dxa" w:w="4513"/>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highlight w:val="yellow"/>
              </w:rPr>
              <w:t xml:space="preserve">[RAISON SOCIALE]</w:t>
            </w:r>
          </w:p>
        </w:tc>
        <w:tc>
          <w:tcPr>
            <w:tcW w:type="dxa" w:w="23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[SIRET]</w:t>
            </w:r>
          </w:p>
        </w:tc>
        <w:tc>
          <w:tcPr>
            <w:tcW w:type="dxa" w:w="2213"/>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[SCORE / N.C.]</w:t>
            </w:r>
          </w:p>
        </w:tc>
      </w:tr>
      <w:tr>
        <w:tc>
          <w:tcPr>
            <w:tcW w:type="dxa" w:w="4513"/>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highlight w:val="yellow"/>
              </w:rPr>
              <w:t xml:space="preserve">[RAISON SOCIALE]</w:t>
            </w:r>
          </w:p>
        </w:tc>
        <w:tc>
          <w:tcPr>
            <w:tcW w:type="dxa" w:w="23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[SIRET]</w:t>
            </w:r>
          </w:p>
        </w:tc>
        <w:tc>
          <w:tcPr>
            <w:tcW w:type="dxa" w:w="2213"/>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[SCORE / N.C.]</w:t>
            </w:r>
          </w:p>
        </w:tc>
      </w:tr>
      <w:tr>
        <w:tc>
          <w:tcPr>
            <w:tcW w:type="dxa" w:w="4513"/>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8"/>
                <w:szCs w:val="18"/>
                <w:highlight w:val="yellow"/>
              </w:rPr>
              <w:t xml:space="preserve">[RAISON SOCIALE]</w:t>
            </w:r>
          </w:p>
        </w:tc>
        <w:tc>
          <w:tcPr>
            <w:tcW w:type="dxa" w:w="23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[SIRET]</w:t>
            </w:r>
          </w:p>
        </w:tc>
        <w:tc>
          <w:tcPr>
            <w:tcW w:type="dxa" w:w="2213"/>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jc w:val="center"/>
            </w:pPr>
            <w:r>
              <w:rPr>
                <w:rFonts w:ascii="Arial" w:cs="Arial" w:eastAsia="Arial" w:hAnsi="Arial"/>
                <w:sz w:val="18"/>
                <w:szCs w:val="18"/>
                <w:highlight w:val="yellow"/>
              </w:rPr>
              <w:t xml:space="preserve">[SCORE / N.C.]</w:t>
            </w:r>
          </w:p>
        </w:tc>
      </w:tr>
    </w:tbl>
    <w:p>
      <w:pPr>
        <w:pageBreakBefore/>
      </w:pPr>
    </w:p>
    <w:p>
      <w:pPr>
        <w:pStyle w:val="Heading1"/>
        <w:spacing w:after="120" w:before="240"/>
      </w:pPr>
      <w:r>
        <w:rPr>
          <w:rFonts w:ascii="Arial" w:cs="Arial" w:eastAsia="Arial" w:hAnsi="Arial"/>
        </w:rPr>
        <w:t xml:space="preserve">V7.3 — Conflits d’intérêts</w:t>
      </w:r>
    </w:p>
    <w:p>
      <w:pPr>
        <w:pBdr>
          <w:bottom w:val="single" w:color="1F7A4D" w:sz="14" w:space="1"/>
        </w:pBdr>
        <w:spacing w:after="1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700"/>
        <w:gridCol w:w="5326"/>
      </w:tblGrid>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Dispositif de prévention des conflits d’intérêts</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[OUI / NON]</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Conflits déclarés sur l’exercice</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[NOMBRE OU « AUCUN »]</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Mesures de gestion mises en place</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[DESCRIPTION]</w:t>
            </w:r>
          </w:p>
        </w:tc>
      </w:tr>
    </w:tbl>
    <w:p>
      <w:pPr>
        <w:pStyle w:val="Heading1"/>
        <w:spacing w:after="120" w:before="240"/>
      </w:pPr>
      <w:r>
        <w:rPr>
          <w:rFonts w:ascii="Arial" w:cs="Arial" w:eastAsia="Arial" w:hAnsi="Arial"/>
        </w:rPr>
        <w:t xml:space="preserve">V7.4 — Satisfaction client (NPS)</w:t>
      </w:r>
    </w:p>
    <w:p>
      <w:pPr>
        <w:pBdr>
          <w:bottom w:val="single" w:color="1F7A4D" w:sz="14" w:space="1"/>
        </w:pBdr>
        <w:spacing w:after="1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700"/>
        <w:gridCol w:w="5326"/>
      </w:tblGrid>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NPS Score (-100 à +100)</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[SCORE]</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Nombre de répondants</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[NB]</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Taux de réponse</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Date de l’enquête</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[JJ/MM/AAAA]</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Principaux verbatims &amp; actions correctives</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[DESCRIPTION]</w:t>
            </w:r>
          </w:p>
        </w:tc>
      </w:tr>
    </w:tbl>
    <w:p>
      <w:pPr>
        <w:pageBreakBefore/>
      </w:pPr>
    </w:p>
    <w:p>
      <w:pPr>
        <w:pStyle w:val="Heading1"/>
        <w:spacing w:after="120" w:before="240"/>
      </w:pPr>
      <w:r>
        <w:rPr>
          <w:rFonts w:ascii="Arial" w:cs="Arial" w:eastAsia="Arial" w:hAnsi="Arial"/>
        </w:rPr>
        <w:t xml:space="preserve">V7.5 — Prestataires de droit étranger</w:t>
      </w:r>
    </w:p>
    <w:p>
      <w:pPr>
        <w:pBdr>
          <w:bottom w:val="single" w:color="1F7A4D" w:sz="14" w:space="1"/>
        </w:pBdr>
        <w:spacing w:after="160"/>
      </w:pPr>
    </w:p>
    <w:p>
      <w:pPr>
        <w:spacing w:after="140" w:line="276"/>
      </w:pPr>
      <w:r>
        <w:rPr>
          <w:rFonts w:ascii="Arial" w:cs="Arial" w:eastAsia="Arial" w:hAnsi="Arial"/>
          <w:sz w:val="21"/>
          <w:szCs w:val="21"/>
        </w:rPr>
        <w:t xml:space="preserve">Enjeu de conformité et de gestion des risques (devoir de vigilance, due diligence fournisseurs, CSRD). Les prestataires hors Europe ou en pays sensibles font l’objet d’une attention particulière.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700"/>
        <w:gridCol w:w="5326"/>
      </w:tblGrid>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Nombre total de fournisseurs / prestataires</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[NB]</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Dont prestataires hors Europe (hors UE + EEE)</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[NB]</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Part hors Europe</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w:t>
            </w:r>
          </w:p>
        </w:tc>
      </w:tr>
    </w:tbl>
    <w:p>
      <w:pPr>
        <w:pStyle w:val="Heading2"/>
        <w:spacing w:after="80" w:before="180"/>
      </w:pPr>
      <w:r>
        <w:rPr>
          <w:rFonts w:ascii="Arial" w:cs="Arial" w:eastAsia="Arial" w:hAnsi="Arial"/>
        </w:rPr>
        <w:t xml:space="preserve">V7.5.4 — Prestataires en pays sensibles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26"/>
        <w:gridCol w:w="3000"/>
        <w:gridCol w:w="3000"/>
      </w:tblGrid>
      <w:tr>
        <w:trPr>
          <w:tblHeader/>
        </w:trPr>
        <w:tc>
          <w:tcPr>
            <w:tcW w:type="dxa" w:w="3026"/>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Prestataire / pays</w:t>
            </w:r>
          </w:p>
        </w:tc>
        <w:tc>
          <w:tcPr>
            <w:tcW w:type="dxa" w:w="3000"/>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Motif de sensibilité</w:t>
            </w:r>
          </w:p>
        </w:tc>
        <w:tc>
          <w:tcPr>
            <w:tcW w:type="dxa" w:w="3000"/>
            <w:tcBorders>
              <w:top w:val="single" w:color="BBBBBB" w:sz="2"/>
              <w:left w:val="single" w:color="BBBBBB" w:sz="2"/>
              <w:bottom w:val="single" w:color="BBBBBB" w:sz="2"/>
              <w:right w:val="single" w:color="BBBBBB" w:sz="2"/>
            </w:tcBorders>
            <w:shd w:fill="14543A" w:val="clear"/>
            <w:tcMar>
              <w:top w:type="dxa" w:w="60"/>
              <w:left w:type="dxa" w:w="110"/>
              <w:bottom w:type="dxa" w:w="60"/>
              <w:right w:type="dxa" w:w="110"/>
            </w:tcMar>
            <w:vAlign w:val="center"/>
          </w:tcPr>
          <w:p>
            <w:pPr>
              <w:spacing w:after="0"/>
            </w:pPr>
            <w:r>
              <w:rPr>
                <w:rFonts w:ascii="Arial" w:cs="Arial" w:eastAsia="Arial" w:hAnsi="Arial"/>
                <w:b/>
                <w:bCs/>
                <w:color w:val="FFFFFF"/>
                <w:sz w:val="18"/>
                <w:szCs w:val="18"/>
              </w:rPr>
              <w:t xml:space="preserve">Mesure d’atténuation</w:t>
            </w:r>
          </w:p>
        </w:tc>
      </w:tr>
      <w:tr>
        <w:tc>
          <w:tcPr>
            <w:tcW w:type="dxa" w:w="3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[PRESTATAIRE — PAYS]</w:t>
            </w:r>
          </w:p>
        </w:tc>
        <w:tc>
          <w:tcPr>
            <w:tcW w:type="dxa" w:w="30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[MOTIF]</w:t>
            </w:r>
          </w:p>
        </w:tc>
        <w:tc>
          <w:tcPr>
            <w:tcW w:type="dxa" w:w="30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[MESURE]</w:t>
            </w:r>
          </w:p>
        </w:tc>
      </w:tr>
      <w:tr>
        <w:tc>
          <w:tcPr>
            <w:tcW w:type="dxa" w:w="30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[PRESTATAIRE — PAYS]</w:t>
            </w:r>
          </w:p>
        </w:tc>
        <w:tc>
          <w:tcPr>
            <w:tcW w:type="dxa" w:w="30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[MOTIF]</w:t>
            </w:r>
          </w:p>
        </w:tc>
        <w:tc>
          <w:tcPr>
            <w:tcW w:type="dxa" w:w="3000"/>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7"/>
                <w:szCs w:val="17"/>
                <w:highlight w:val="yellow"/>
              </w:rPr>
              <w:t xml:space="preserve">[MESURE]</w:t>
            </w:r>
          </w:p>
        </w:tc>
      </w:tr>
    </w:tbl>
    <w:p>
      <w:pPr>
        <w:pageBreakBefore/>
      </w:pPr>
    </w:p>
    <w:p>
      <w:pPr>
        <w:pStyle w:val="Heading1"/>
        <w:spacing w:after="120" w:before="240"/>
      </w:pPr>
      <w:r>
        <w:rPr>
          <w:rFonts w:ascii="Arial" w:cs="Arial" w:eastAsia="Arial" w:hAnsi="Arial"/>
        </w:rPr>
        <w:t xml:space="preserve">V7.6 — Hommes clefs — Risque de dépendance</w:t>
      </w:r>
    </w:p>
    <w:p>
      <w:pPr>
        <w:pBdr>
          <w:bottom w:val="single" w:color="1F7A4D" w:sz="14" w:space="1"/>
        </w:pBdr>
        <w:spacing w:after="160"/>
      </w:pPr>
    </w:p>
    <w:p>
      <w:pPr>
        <w:spacing w:after="140" w:line="276"/>
      </w:pPr>
      <w:r>
        <w:rPr>
          <w:rFonts w:ascii="Arial" w:cs="Arial" w:eastAsia="Arial" w:hAnsi="Arial"/>
          <w:sz w:val="21"/>
          <w:szCs w:val="21"/>
        </w:rPr>
        <w:t xml:space="preserve">La dépendance à une ou plusieurs personnes clefs est un facteur de risque évalué lors des due diligences, financements et cessions. Toute personne dont l’absence prolongée mettrait en péril la continuité de l’activité est concernée.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700"/>
        <w:gridCol w:w="5326"/>
      </w:tblGrid>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Nombre de personnes clefs identifiées</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[NB]</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Assurance « Homme clef » souscrite</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[OUI / NON / PARTIELLE]</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Fonctions clefs identifiées</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[DESCRIPTION]</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Mesures de succession / continuité prévues</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[DESCRIPTION]</w:t>
            </w:r>
          </w:p>
        </w:tc>
      </w:tr>
      <w:tr>
        <w:tc>
          <w:tcPr>
            <w:tcW w:type="dxa" w:w="3700"/>
            <w:tcBorders>
              <w:top w:val="single" w:color="BBBBBB" w:sz="2"/>
              <w:left w:val="single" w:color="BBBBBB" w:sz="2"/>
              <w:bottom w:val="single" w:color="BBBBBB" w:sz="2"/>
              <w:right w:val="single" w:color="BBBBBB" w:sz="2"/>
            </w:tcBorders>
            <w:shd w:fill="E7F3EC" w:val="clear"/>
            <w:tcMar>
              <w:top w:type="dxa" w:w="60"/>
              <w:left w:type="dxa" w:w="110"/>
              <w:bottom w:type="dxa" w:w="60"/>
              <w:right w:type="dxa" w:w="110"/>
            </w:tcMar>
            <w:vAlign w:val="center"/>
          </w:tcPr>
          <w:p>
            <w:pPr>
              <w:spacing w:after="0"/>
            </w:pPr>
            <w:r>
              <w:rPr>
                <w:rFonts w:ascii="Arial" w:cs="Arial" w:eastAsia="Arial" w:hAnsi="Arial"/>
                <w:b/>
                <w:bCs/>
                <w:sz w:val="19"/>
                <w:szCs w:val="19"/>
              </w:rPr>
              <w:t xml:space="preserve">Niveau de risque de dépendance</w:t>
            </w:r>
          </w:p>
        </w:tc>
        <w:tc>
          <w:tcPr>
            <w:tcW w:type="dxa" w:w="5326"/>
            <w:tcBorders>
              <w:top w:val="single" w:color="BBBBBB" w:sz="2"/>
              <w:left w:val="single" w:color="BBBBBB" w:sz="2"/>
              <w:bottom w:val="single" w:color="BBBBBB" w:sz="2"/>
              <w:right w:val="single" w:color="BBBBBB" w:sz="2"/>
            </w:tcBorders>
            <w:tcMar>
              <w:top w:type="dxa" w:w="60"/>
              <w:left w:type="dxa" w:w="110"/>
              <w:bottom w:type="dxa" w:w="60"/>
              <w:right w:type="dxa" w:w="110"/>
            </w:tcMar>
            <w:vAlign w:val="center"/>
          </w:tcPr>
          <w:p>
            <w:pPr>
              <w:spacing w:after="0"/>
            </w:pPr>
            <w:r>
              <w:rPr>
                <w:rFonts w:ascii="Arial" w:cs="Arial" w:eastAsia="Arial" w:hAnsi="Arial"/>
                <w:sz w:val="19"/>
                <w:szCs w:val="19"/>
                <w:highlight w:val="yellow"/>
              </w:rPr>
              <w:t xml:space="preserve">[FAIBLE / MOYEN / ÉLEVÉ]</w:t>
            </w:r>
          </w:p>
        </w:tc>
      </w:tr>
    </w:tbl>
    <w:p>
      <w:pPr>
        <w:spacing w:before="120"/>
      </w:pPr>
      <w:r>
        <w:rPr>
          <w:rFonts w:ascii="Arial" w:cs="Arial" w:eastAsia="Arial" w:hAnsi="Arial"/>
          <w:i/>
          <w:iCs/>
          <w:color w:val="1F7A4D"/>
          <w:sz w:val="20"/>
          <w:szCs w:val="20"/>
        </w:rPr>
        <w:t xml:space="preserve">Recommandation ADEMOVA : les dépendances identifiées ci-dessus constituent le point de départ d’un Plan de Continuité / Reprise d’Activité (PCA/PRA). Un accompagnement dédié permet de formaliser les mesures de résilience correspondantes.</w:t>
      </w:r>
    </w:p>
    <w:p>
      <w:pPr>
        <w:spacing w:after="140" w:line="276"/>
      </w:pPr>
      <w:r>
        <w:rPr>
          <w:rFonts w:ascii="Arial" w:cs="Arial" w:eastAsia="Arial" w:hAnsi="Arial"/>
          <w:sz w:val="21"/>
          <w:szCs w:val="21"/>
        </w:rPr>
        <w:t xml:space="preserve">Pièces jointes et/ou actions déclarées (noms seulement, sans incorporation) :</w:t>
      </w:r>
    </w:p>
    <w:p>
      <w:pPr>
        <w:pStyle w:val="ListParagraph"/>
        <w:numPr>
          <w:ilvl w:val="0"/>
          <w:numId w:val="2"/>
        </w:numPr>
        <w:spacing w:after="60"/>
      </w:pPr>
      <w:r>
        <w:rPr>
          <w:rFonts w:ascii="Arial" w:cs="Arial" w:eastAsia="Arial" w:hAnsi="Arial"/>
          <w:sz w:val="21"/>
          <w:szCs w:val="21"/>
        </w:rPr>
        <w:t xml:space="preserve">Attestation d’assurance homme clef : </w:t>
      </w:r>
      <w:r>
        <w:rPr>
          <w:rFonts w:ascii="Arial" w:cs="Arial" w:eastAsia="Arial" w:hAnsi="Arial"/>
          <w:sz w:val="21"/>
          <w:szCs w:val="21"/>
          <w:highlight w:val="yellow"/>
        </w:rPr>
        <w:t xml:space="preserve">[NOM DU FICHIER JOINT]</w:t>
      </w:r>
    </w:p>
    <w:p>
      <w:pPr>
        <w:pStyle w:val="ListParagraph"/>
        <w:numPr>
          <w:ilvl w:val="0"/>
          <w:numId w:val="2"/>
        </w:numPr>
        <w:spacing w:after="60"/>
      </w:pPr>
      <w:r>
        <w:rPr>
          <w:rFonts w:ascii="Arial" w:cs="Arial" w:eastAsia="Arial" w:hAnsi="Arial"/>
          <w:sz w:val="21"/>
          <w:szCs w:val="21"/>
        </w:rPr>
        <w:t xml:space="preserve">Plan de succession / continuité : </w:t>
      </w:r>
      <w:r>
        <w:rPr>
          <w:rFonts w:ascii="Arial" w:cs="Arial" w:eastAsia="Arial" w:hAnsi="Arial"/>
          <w:sz w:val="21"/>
          <w:szCs w:val="21"/>
          <w:highlight w:val="yellow"/>
        </w:rPr>
        <w:t xml:space="preserve">[NOM DU FICHIER JOINT]</w:t>
      </w:r>
    </w:p>
    <w:p>
      <w:pPr>
        <w:pageBreakBefore/>
      </w:pPr>
    </w:p>
    <w:p>
      <w:pPr>
        <w:pStyle w:val="Heading1"/>
        <w:spacing w:after="120" w:before="240"/>
      </w:pPr>
      <w:r>
        <w:rPr>
          <w:rFonts w:ascii="Arial" w:cs="Arial" w:eastAsia="Arial" w:hAnsi="Arial"/>
        </w:rPr>
        <w:t xml:space="preserve">Avertissement et limite de responsabilité</w:t>
      </w:r>
    </w:p>
    <w:p>
      <w:pPr>
        <w:pBdr>
          <w:bottom w:val="single" w:color="1F7A4D" w:sz="14" w:space="1"/>
        </w:pBdr>
        <w:spacing w:after="160"/>
      </w:pPr>
    </w:p>
    <w:p>
      <w:pPr>
        <w:spacing w:after="140" w:line="276"/>
      </w:pPr>
      <w:r>
        <w:rPr>
          <w:rFonts w:ascii="Arial" w:cs="Arial" w:eastAsia="Arial" w:hAnsi="Arial"/>
          <w:sz w:val="21"/>
          <w:szCs w:val="21"/>
        </w:rPr>
        <w:t xml:space="preserve">Cette annexe optionnelle a été générée via la plateforme ADEMOVA (ADEMOVA.COM) à partir des seules informations déclarées par l’entreprise. Elle complète le rapport VSME sans s’y substituer et ne constitue ni une déclaration CSRD ni un Plan de Continuité d’Activité formalisé.</w:t>
      </w:r>
    </w:p>
    <w:p>
      <w:pPr>
        <w:spacing w:after="140" w:line="276"/>
      </w:pPr>
      <w:r>
        <w:rPr>
          <w:rFonts w:ascii="Arial" w:cs="Arial" w:eastAsia="Arial" w:hAnsi="Arial"/>
          <w:sz w:val="21"/>
          <w:szCs w:val="21"/>
        </w:rPr>
        <w:t xml:space="preserve">L’exactitude et l’exhaustivité des données relèvent de la seule responsabilité de l’entreprise. ADEMOVA ne procède à aucune vérification et sa responsabilité ne saurait être engagée au titre du contenu de cette annexe ni des décisions prises sur son fondement.</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tabs>
        <w:tab w:val="right" w:pos="9026"/>
      </w:tabs>
    </w:pPr>
    <w:r>
      <w:rPr>
        <w:rFonts w:ascii="Arial" w:cs="Arial" w:eastAsia="Arial" w:hAnsi="Arial"/>
        <w:color w:val="888888"/>
        <w:sz w:val="15"/>
        <w:szCs w:val="15"/>
      </w:rPr>
      <w:t xml:space="preserve">Réalisé sur ADEMOVA.COM</w:t>
    </w:r>
    <w:r>
      <w:rPr>
        <w:rFonts w:ascii="Arial" w:cs="Arial" w:eastAsia="Arial" w:hAnsi="Arial"/>
        <w:color w:val="888888"/>
        <w:sz w:val="15"/>
        <w:szCs w:val="15"/>
      </w:rPr>
      <w:t xml:space="preserve">	Page </w:t>
    </w:r>
    <w:r>
      <w:rPr>
        <w:rFonts w:ascii="Arial" w:cs="Arial" w:eastAsia="Arial" w:hAnsi="Arial"/>
        <w:color w:val="888888"/>
        <w:sz w:val="15"/>
        <w:szCs w:val="15"/>
      </w:rPr>
      <w:fldChar w:fldCharType="begin"/>
      <w:instrText xml:space="preserve">PAGE</w:instrText>
      <w:fldChar w:fldCharType="separate"/>
      <w:fldChar w:fldCharType="end"/>
    </w:r>
    <w:r>
      <w:rPr>
        <w:rFonts w:ascii="Arial" w:cs="Arial" w:eastAsia="Arial" w:hAnsi="Arial"/>
        <w:color w:val="888888"/>
        <w:sz w:val="15"/>
        <w:szCs w:val="15"/>
      </w:rPr>
      <w:t xml:space="preserve"> sur </w:t>
    </w:r>
    <w:r>
      <w:rPr>
        <w:rFonts w:ascii="Arial" w:cs="Arial" w:eastAsia="Arial" w:hAnsi="Arial"/>
        <w:color w:val="88888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1A2A4A"/>
      <w:sz w:val="30"/>
      <w:szCs w:val="30"/>
    </w:rPr>
  </w:style>
  <w:style w:type="paragraph" w:styleId="Heading2">
    <w:name w:val="Heading 2"/>
    <w:basedOn w:val="Normal"/>
    <w:next w:val="Normal"/>
    <w:qFormat/>
    <w:pPr>
      <w:spacing w:after="80" w:before="180"/>
      <w:outlineLvl w:val="1"/>
    </w:pPr>
    <w:rPr>
      <w:rFonts w:ascii="Arial" w:cs="Arial" w:eastAsia="Arial" w:hAnsi="Arial"/>
      <w:b/>
      <w:bCs/>
      <w:color w:val="1F7A4D"/>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2026-06-20T16:56:07.684Z</dcterms:created>
  <dcterms:modified xsi:type="dcterms:W3CDTF">2026-06-20T16:56:07.699Z</dcterms:modified>
</cp:coreProperties>
</file>

<file path=docProps/custom.xml><?xml version="1.0" encoding="utf-8"?>
<Properties xmlns="http://schemas.openxmlformats.org/officeDocument/2006/custom-properties" xmlns:vt="http://schemas.openxmlformats.org/officeDocument/2006/docPropsVTypes"/>
</file>